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85" w:rsidRPr="00600516" w:rsidRDefault="00D97333" w:rsidP="00D97333">
      <w:pPr>
        <w:spacing w:after="0" w:line="240" w:lineRule="auto"/>
        <w:jc w:val="center"/>
        <w:rPr>
          <w:rFonts w:cs="Garamond-Light"/>
          <w:b/>
          <w:sz w:val="20"/>
          <w:szCs w:val="20"/>
          <w:lang w:val="fr-CH"/>
        </w:rPr>
      </w:pPr>
      <w:r w:rsidRPr="00600516">
        <w:rPr>
          <w:rFonts w:cs="Garamond-Light"/>
          <w:b/>
          <w:sz w:val="20"/>
          <w:szCs w:val="20"/>
          <w:lang w:val="fr-CH"/>
        </w:rPr>
        <w:t>INTRODUCTION</w:t>
      </w:r>
    </w:p>
    <w:p w:rsidR="00D97333" w:rsidRPr="00600516" w:rsidRDefault="00D97333" w:rsidP="00D97333">
      <w:pPr>
        <w:spacing w:after="0" w:line="240" w:lineRule="auto"/>
        <w:jc w:val="center"/>
        <w:rPr>
          <w:rFonts w:cs="Garamond-Light"/>
          <w:sz w:val="20"/>
          <w:szCs w:val="20"/>
          <w:lang w:val="fr-CH"/>
        </w:rPr>
      </w:pPr>
    </w:p>
    <w:p w:rsidR="00D97333" w:rsidRPr="00D97333" w:rsidRDefault="00D97333" w:rsidP="00D97333">
      <w:pPr>
        <w:spacing w:after="0" w:line="240" w:lineRule="auto"/>
        <w:jc w:val="center"/>
        <w:rPr>
          <w:rFonts w:cs="Garamond-Light"/>
          <w:sz w:val="20"/>
          <w:szCs w:val="20"/>
          <w:lang w:val="fr-CH"/>
        </w:rPr>
      </w:pPr>
      <w:r w:rsidRPr="00D97333">
        <w:rPr>
          <w:rFonts w:cs="Garamond-Light"/>
          <w:sz w:val="20"/>
          <w:szCs w:val="20"/>
          <w:lang w:val="fr-CH"/>
        </w:rPr>
        <w:t>Marc Finaud</w:t>
      </w:r>
      <w:r>
        <w:rPr>
          <w:rStyle w:val="FootnoteReference"/>
          <w:rFonts w:cs="Garamond-Light"/>
          <w:sz w:val="20"/>
          <w:szCs w:val="20"/>
        </w:rPr>
        <w:footnoteReference w:id="1"/>
      </w:r>
    </w:p>
    <w:p w:rsidR="00D97333" w:rsidRPr="00D97333" w:rsidRDefault="00D97333" w:rsidP="00D97333">
      <w:pPr>
        <w:spacing w:after="0" w:line="240" w:lineRule="auto"/>
        <w:jc w:val="both"/>
        <w:rPr>
          <w:rFonts w:cs="Garamond-Light"/>
          <w:sz w:val="20"/>
          <w:szCs w:val="20"/>
          <w:lang w:val="fr-CH"/>
        </w:rPr>
      </w:pPr>
    </w:p>
    <w:p w:rsidR="00D97333" w:rsidRDefault="00D97333" w:rsidP="00D97333">
      <w:pPr>
        <w:spacing w:after="0" w:line="240" w:lineRule="auto"/>
        <w:jc w:val="both"/>
        <w:rPr>
          <w:rFonts w:cs="Garamond-Light"/>
          <w:sz w:val="20"/>
          <w:szCs w:val="20"/>
          <w:lang w:val="fr-CH"/>
        </w:rPr>
      </w:pPr>
      <w:r w:rsidRPr="00D97333">
        <w:rPr>
          <w:rFonts w:cs="Garamond-Light"/>
          <w:sz w:val="20"/>
          <w:szCs w:val="20"/>
          <w:lang w:val="fr-CH"/>
        </w:rPr>
        <w:t xml:space="preserve">Depuis que le Maroc a présenté au </w:t>
      </w:r>
      <w:r w:rsidR="0098762E">
        <w:rPr>
          <w:rFonts w:cs="Garamond-Light"/>
          <w:sz w:val="20"/>
          <w:szCs w:val="20"/>
          <w:lang w:val="fr-CH"/>
        </w:rPr>
        <w:t>Secrétaire général</w:t>
      </w:r>
      <w:r w:rsidRPr="00D97333">
        <w:rPr>
          <w:rFonts w:cs="Garamond-Light"/>
          <w:sz w:val="20"/>
          <w:szCs w:val="20"/>
          <w:lang w:val="fr-CH"/>
        </w:rPr>
        <w:t xml:space="preserve"> </w:t>
      </w:r>
      <w:r>
        <w:rPr>
          <w:rFonts w:cs="Garamond-Light"/>
          <w:sz w:val="20"/>
          <w:szCs w:val="20"/>
          <w:lang w:val="fr-CH"/>
        </w:rPr>
        <w:t>des Nations unies, le 11 avril 2007, son plan d’autonomie pour la région du Sahara comme moyen de règlement du conflit en cours,</w:t>
      </w:r>
      <w:r w:rsidR="0098762E">
        <w:rPr>
          <w:rFonts w:cs="Garamond-Light"/>
          <w:sz w:val="20"/>
          <w:szCs w:val="20"/>
          <w:lang w:val="fr-CH"/>
        </w:rPr>
        <w:t xml:space="preserve"> une douzaine de séminaires académiques ont été organisés en vue de comparer les expériences d’autonomie territoriale de nombreuses régions avec l’Initiative marocaine. La Conférence d’aujourd’hui a pour objectif d’en tirer une synthèse et des leçons utiles non seulement pour le Maroc</w:t>
      </w:r>
      <w:r w:rsidR="008E0D65">
        <w:rPr>
          <w:rFonts w:cs="Garamond-Light"/>
          <w:sz w:val="20"/>
          <w:szCs w:val="20"/>
          <w:lang w:val="fr-CH"/>
        </w:rPr>
        <w:t xml:space="preserve"> et le Sahara</w:t>
      </w:r>
      <w:r w:rsidR="0098762E">
        <w:rPr>
          <w:rFonts w:cs="Garamond-Light"/>
          <w:sz w:val="20"/>
          <w:szCs w:val="20"/>
          <w:lang w:val="fr-CH"/>
        </w:rPr>
        <w:t xml:space="preserve">, mais pour l’ensemble des pays dans lesquels ce mode de gouvernance peut apporter une solution aux conflits existants. On peut penser ici </w:t>
      </w:r>
      <w:r w:rsidR="00A87757">
        <w:rPr>
          <w:rFonts w:cs="Garamond-Light"/>
          <w:sz w:val="20"/>
          <w:szCs w:val="20"/>
          <w:lang w:val="fr-CH"/>
        </w:rPr>
        <w:t>à des pays ethniquement, culturellement ou religieusement fragmentés</w:t>
      </w:r>
      <w:r w:rsidR="0098762E">
        <w:rPr>
          <w:rFonts w:cs="Garamond-Light"/>
          <w:sz w:val="20"/>
          <w:szCs w:val="20"/>
          <w:lang w:val="fr-CH"/>
        </w:rPr>
        <w:t xml:space="preserve"> </w:t>
      </w:r>
      <w:r w:rsidR="00A87757">
        <w:rPr>
          <w:rFonts w:cs="Garamond-Light"/>
          <w:sz w:val="20"/>
          <w:szCs w:val="20"/>
          <w:lang w:val="fr-CH"/>
        </w:rPr>
        <w:t xml:space="preserve">tel que </w:t>
      </w:r>
      <w:r w:rsidR="0098762E">
        <w:rPr>
          <w:rFonts w:cs="Garamond-Light"/>
          <w:sz w:val="20"/>
          <w:szCs w:val="20"/>
          <w:lang w:val="fr-CH"/>
        </w:rPr>
        <w:t xml:space="preserve">l’Ukraine, </w:t>
      </w:r>
      <w:r w:rsidR="00A87757">
        <w:rPr>
          <w:rFonts w:cs="Garamond-Light"/>
          <w:sz w:val="20"/>
          <w:szCs w:val="20"/>
          <w:lang w:val="fr-CH"/>
        </w:rPr>
        <w:t>le</w:t>
      </w:r>
      <w:r w:rsidR="0098762E">
        <w:rPr>
          <w:rFonts w:cs="Garamond-Light"/>
          <w:sz w:val="20"/>
          <w:szCs w:val="20"/>
          <w:lang w:val="fr-CH"/>
        </w:rPr>
        <w:t xml:space="preserve"> Mali, l’</w:t>
      </w:r>
      <w:r w:rsidR="00A87757">
        <w:rPr>
          <w:rFonts w:cs="Garamond-Light"/>
          <w:sz w:val="20"/>
          <w:szCs w:val="20"/>
          <w:lang w:val="fr-CH"/>
        </w:rPr>
        <w:t xml:space="preserve">Irak, la République démocratique du Congo, l’Afghanistan, </w:t>
      </w:r>
      <w:r w:rsidR="00F33D07">
        <w:rPr>
          <w:rFonts w:cs="Garamond-Light"/>
          <w:sz w:val="20"/>
          <w:szCs w:val="20"/>
          <w:lang w:val="fr-CH"/>
        </w:rPr>
        <w:t xml:space="preserve">le Myanmar, </w:t>
      </w:r>
      <w:r w:rsidR="00A87757">
        <w:rPr>
          <w:rFonts w:cs="Garamond-Light"/>
          <w:sz w:val="20"/>
          <w:szCs w:val="20"/>
          <w:lang w:val="fr-CH"/>
        </w:rPr>
        <w:t xml:space="preserve">la </w:t>
      </w:r>
      <w:r w:rsidR="00F33D07">
        <w:rPr>
          <w:rFonts w:cs="Garamond-Light"/>
          <w:sz w:val="20"/>
          <w:szCs w:val="20"/>
          <w:lang w:val="fr-CH"/>
        </w:rPr>
        <w:t xml:space="preserve">Libye, la </w:t>
      </w:r>
      <w:r w:rsidR="00A87757">
        <w:rPr>
          <w:rFonts w:cs="Garamond-Light"/>
          <w:sz w:val="20"/>
          <w:szCs w:val="20"/>
          <w:lang w:val="fr-CH"/>
        </w:rPr>
        <w:t>Syrie ou le Yémen, qui souffrent de guerres civiles fratricides</w:t>
      </w:r>
      <w:r w:rsidR="00F33D07">
        <w:rPr>
          <w:rFonts w:cs="Garamond-Light"/>
          <w:sz w:val="20"/>
          <w:szCs w:val="20"/>
          <w:lang w:val="fr-CH"/>
        </w:rPr>
        <w:t xml:space="preserve">, mais aussi à des pays aujourd’hui en paix où la tentation sécessionniste de certaines régions n’a pas disparu (comme la Catalogue, l’Ecosse, </w:t>
      </w:r>
      <w:r w:rsidR="00A92675">
        <w:rPr>
          <w:rFonts w:cs="Garamond-Light"/>
          <w:sz w:val="20"/>
          <w:szCs w:val="20"/>
          <w:lang w:val="fr-CH"/>
        </w:rPr>
        <w:t xml:space="preserve">la Flandre, la République serbe de Bosnie-Herzégovine, la Casamance au Sénégal, ou </w:t>
      </w:r>
      <w:r w:rsidR="00F33D07">
        <w:rPr>
          <w:rFonts w:cs="Garamond-Light"/>
          <w:sz w:val="20"/>
          <w:szCs w:val="20"/>
          <w:lang w:val="fr-CH"/>
        </w:rPr>
        <w:t xml:space="preserve">les </w:t>
      </w:r>
      <w:r w:rsidR="00A92675">
        <w:rPr>
          <w:rFonts w:cs="Garamond-Light"/>
          <w:sz w:val="20"/>
          <w:szCs w:val="20"/>
          <w:lang w:val="fr-CH"/>
        </w:rPr>
        <w:t>provinces tamoul</w:t>
      </w:r>
      <w:r w:rsidR="008E0D65">
        <w:rPr>
          <w:rFonts w:cs="Garamond-Light"/>
          <w:sz w:val="20"/>
          <w:szCs w:val="20"/>
          <w:lang w:val="fr-CH"/>
        </w:rPr>
        <w:t>e</w:t>
      </w:r>
      <w:r w:rsidR="00A92675">
        <w:rPr>
          <w:rFonts w:cs="Garamond-Light"/>
          <w:sz w:val="20"/>
          <w:szCs w:val="20"/>
          <w:lang w:val="fr-CH"/>
        </w:rPr>
        <w:t>s du Sri Lanka).</w:t>
      </w:r>
    </w:p>
    <w:p w:rsidR="00A87757" w:rsidRDefault="00A87757" w:rsidP="00D97333">
      <w:pPr>
        <w:spacing w:after="0" w:line="240" w:lineRule="auto"/>
        <w:jc w:val="both"/>
        <w:rPr>
          <w:rFonts w:cs="Garamond-Light"/>
          <w:sz w:val="20"/>
          <w:szCs w:val="20"/>
          <w:lang w:val="fr-CH"/>
        </w:rPr>
      </w:pPr>
    </w:p>
    <w:p w:rsidR="00A87757" w:rsidRDefault="00A87757" w:rsidP="00D97333">
      <w:pPr>
        <w:spacing w:after="0" w:line="240" w:lineRule="auto"/>
        <w:jc w:val="both"/>
        <w:rPr>
          <w:rFonts w:cs="Garamond-Light"/>
          <w:sz w:val="20"/>
          <w:szCs w:val="20"/>
          <w:lang w:val="fr-CH"/>
        </w:rPr>
      </w:pPr>
      <w:r>
        <w:rPr>
          <w:rFonts w:cs="Garamond-Light"/>
          <w:sz w:val="20"/>
          <w:szCs w:val="20"/>
          <w:lang w:val="fr-CH"/>
        </w:rPr>
        <w:t>Les séminaires passés sur les différents aspects de l’autonomie territoriale ont couvert les domaines suivants.</w:t>
      </w:r>
    </w:p>
    <w:p w:rsidR="00D97333" w:rsidRPr="00D97333" w:rsidRDefault="00D97333" w:rsidP="00D97333">
      <w:pPr>
        <w:spacing w:after="0" w:line="240" w:lineRule="auto"/>
        <w:jc w:val="both"/>
        <w:rPr>
          <w:rFonts w:cs="Garamond-Light"/>
          <w:sz w:val="20"/>
          <w:szCs w:val="20"/>
          <w:lang w:val="fr-CH"/>
        </w:rPr>
      </w:pPr>
    </w:p>
    <w:p w:rsidR="00701885" w:rsidRPr="00A92675" w:rsidRDefault="00A92675" w:rsidP="00A92675">
      <w:pPr>
        <w:pBdr>
          <w:top w:val="nil"/>
          <w:left w:val="nil"/>
          <w:bottom w:val="nil"/>
          <w:right w:val="nil"/>
          <w:between w:val="nil"/>
          <w:bar w:val="nil"/>
        </w:pBdr>
        <w:spacing w:after="0" w:line="240" w:lineRule="auto"/>
        <w:jc w:val="both"/>
        <w:rPr>
          <w:rFonts w:cs="Arial"/>
          <w:sz w:val="20"/>
          <w:szCs w:val="20"/>
          <w:lang w:val="fr-CH"/>
        </w:rPr>
      </w:pPr>
      <w:r>
        <w:rPr>
          <w:rFonts w:cs="Arial"/>
          <w:color w:val="000000" w:themeColor="text1"/>
          <w:sz w:val="20"/>
          <w:szCs w:val="20"/>
          <w:lang w:val="fr-CH"/>
        </w:rPr>
        <w:t xml:space="preserve">1) </w:t>
      </w:r>
      <w:r w:rsidR="00701885" w:rsidRPr="00A92675">
        <w:rPr>
          <w:rFonts w:cs="Arial"/>
          <w:color w:val="000000" w:themeColor="text1"/>
          <w:sz w:val="20"/>
          <w:szCs w:val="20"/>
          <w:lang w:val="fr-CH"/>
        </w:rPr>
        <w:t xml:space="preserve">Le </w:t>
      </w:r>
      <w:r w:rsidR="00701885" w:rsidRPr="00A92675">
        <w:rPr>
          <w:rFonts w:cs="Arial"/>
          <w:b/>
          <w:bCs/>
          <w:color w:val="000000" w:themeColor="text1"/>
          <w:sz w:val="20"/>
          <w:szCs w:val="20"/>
          <w:lang w:val="fr-CH"/>
        </w:rPr>
        <w:t>6 octobre 2009</w:t>
      </w:r>
      <w:r w:rsidR="00701885" w:rsidRPr="00A92675">
        <w:rPr>
          <w:rFonts w:cs="Arial"/>
          <w:color w:val="000000" w:themeColor="text1"/>
          <w:sz w:val="20"/>
          <w:szCs w:val="20"/>
          <w:lang w:val="fr-CH"/>
        </w:rPr>
        <w:t xml:space="preserve"> à Genève</w:t>
      </w:r>
      <w:r w:rsidR="00A87757" w:rsidRPr="00A92675">
        <w:rPr>
          <w:rFonts w:cs="Arial"/>
          <w:color w:val="000000" w:themeColor="text1"/>
          <w:sz w:val="20"/>
          <w:szCs w:val="20"/>
          <w:lang w:val="fr-CH"/>
        </w:rPr>
        <w:t>,</w:t>
      </w:r>
      <w:r w:rsidR="00701885" w:rsidRPr="00A92675">
        <w:rPr>
          <w:rFonts w:cs="Arial"/>
          <w:color w:val="000000" w:themeColor="text1"/>
          <w:sz w:val="20"/>
          <w:szCs w:val="20"/>
          <w:lang w:val="fr-CH"/>
        </w:rPr>
        <w:t xml:space="preserve"> </w:t>
      </w:r>
      <w:r w:rsidR="00701885" w:rsidRPr="00A92675">
        <w:rPr>
          <w:rFonts w:cs="Arial"/>
          <w:sz w:val="20"/>
          <w:szCs w:val="20"/>
          <w:lang w:val="fr-CH"/>
        </w:rPr>
        <w:t>le thème : « </w:t>
      </w:r>
      <w:r w:rsidR="00701885" w:rsidRPr="00A92675">
        <w:rPr>
          <w:rFonts w:cs="Arial"/>
          <w:b/>
          <w:sz w:val="20"/>
          <w:szCs w:val="20"/>
          <w:lang w:val="fr-CH"/>
        </w:rPr>
        <w:t xml:space="preserve">L’autonomie satisfait-elle au droit à l’autodétermination ? </w:t>
      </w:r>
      <w:r w:rsidR="00701885" w:rsidRPr="00A92675">
        <w:rPr>
          <w:rFonts w:cs="Arial"/>
          <w:sz w:val="20"/>
          <w:szCs w:val="20"/>
          <w:lang w:val="fr-CH"/>
        </w:rPr>
        <w:t>»</w:t>
      </w:r>
      <w:r w:rsidR="00701885" w:rsidRPr="00A92675">
        <w:rPr>
          <w:rFonts w:cs="Arial"/>
          <w:i/>
          <w:iCs/>
          <w:color w:val="000000" w:themeColor="text1"/>
          <w:sz w:val="20"/>
          <w:szCs w:val="20"/>
          <w:lang w:val="fr-CH"/>
        </w:rPr>
        <w:t xml:space="preserve"> </w:t>
      </w:r>
      <w:r w:rsidR="00701885" w:rsidRPr="00A92675">
        <w:rPr>
          <w:rFonts w:cs="Arial"/>
          <w:sz w:val="20"/>
          <w:szCs w:val="20"/>
          <w:lang w:val="fr-CH"/>
        </w:rPr>
        <w:t xml:space="preserve">dont les résultats ont été présentés lors d’un séminaire au Palais des Nations, </w:t>
      </w:r>
      <w:r w:rsidR="00701885" w:rsidRPr="00A92675">
        <w:rPr>
          <w:rFonts w:cs="Arial"/>
          <w:b/>
          <w:sz w:val="20"/>
          <w:szCs w:val="20"/>
          <w:lang w:val="fr-CH"/>
        </w:rPr>
        <w:t>le 21 septembre 2010</w:t>
      </w:r>
      <w:r w:rsidR="00701885" w:rsidRPr="00A92675">
        <w:rPr>
          <w:rFonts w:cs="Arial"/>
          <w:sz w:val="20"/>
          <w:szCs w:val="20"/>
          <w:lang w:val="fr-CH"/>
        </w:rPr>
        <w:t>.</w:t>
      </w:r>
      <w:r w:rsidR="00A87757" w:rsidRPr="00A92675">
        <w:rPr>
          <w:rFonts w:cs="Arial"/>
          <w:sz w:val="20"/>
          <w:szCs w:val="20"/>
          <w:lang w:val="fr-CH"/>
        </w:rPr>
        <w:t xml:space="preserve"> Y ont été étudiés notamment les cas de l’Irlande du Nord, du Kurdistan irakien, de la Voïvodine en Serbie et de la Nouvelle-Calédonie. Il en a été conclu que :</w:t>
      </w:r>
    </w:p>
    <w:p w:rsidR="001B70FA" w:rsidRPr="005065F0" w:rsidRDefault="00A87757" w:rsidP="005E19E1">
      <w:pPr>
        <w:pStyle w:val="ListParagraph"/>
        <w:numPr>
          <w:ilvl w:val="0"/>
          <w:numId w:val="27"/>
        </w:numPr>
        <w:spacing w:after="0" w:line="240" w:lineRule="auto"/>
        <w:jc w:val="both"/>
        <w:rPr>
          <w:sz w:val="20"/>
          <w:szCs w:val="20"/>
          <w:lang w:val="fr-CH"/>
        </w:rPr>
      </w:pPr>
      <w:r w:rsidRPr="00A87757">
        <w:rPr>
          <w:rFonts w:cs="Garamond-Light"/>
          <w:sz w:val="20"/>
          <w:szCs w:val="20"/>
          <w:lang w:val="fr-CH"/>
        </w:rPr>
        <w:t xml:space="preserve">Dans </w:t>
      </w:r>
      <w:r w:rsidR="001B70FA">
        <w:rPr>
          <w:rFonts w:cs="Garamond-Light"/>
          <w:sz w:val="20"/>
          <w:szCs w:val="20"/>
          <w:lang w:val="fr-CH"/>
        </w:rPr>
        <w:t>la plupart des</w:t>
      </w:r>
      <w:r w:rsidRPr="00A87757">
        <w:rPr>
          <w:rFonts w:cs="Garamond-Light"/>
          <w:sz w:val="20"/>
          <w:szCs w:val="20"/>
          <w:lang w:val="fr-CH"/>
        </w:rPr>
        <w:t xml:space="preserve"> cas, </w:t>
      </w:r>
      <w:r w:rsidRPr="008E0D65">
        <w:rPr>
          <w:rFonts w:cs="Garamond-Light"/>
          <w:b/>
          <w:sz w:val="20"/>
          <w:szCs w:val="20"/>
          <w:lang w:val="fr-CH"/>
        </w:rPr>
        <w:t>l’autonomie permet l’auto-</w:t>
      </w:r>
      <w:r w:rsidR="00701885" w:rsidRPr="008E0D65">
        <w:rPr>
          <w:rFonts w:cs="Garamond-Light"/>
          <w:b/>
          <w:sz w:val="20"/>
          <w:szCs w:val="20"/>
          <w:lang w:val="fr-CH"/>
        </w:rPr>
        <w:t>d</w:t>
      </w:r>
      <w:r w:rsidRPr="008E0D65">
        <w:rPr>
          <w:rFonts w:cs="Garamond-Light"/>
          <w:b/>
          <w:sz w:val="20"/>
          <w:szCs w:val="20"/>
          <w:lang w:val="fr-CH"/>
        </w:rPr>
        <w:t>é</w:t>
      </w:r>
      <w:r w:rsidR="005065F0" w:rsidRPr="008E0D65">
        <w:rPr>
          <w:rFonts w:cs="Garamond-Light"/>
          <w:b/>
          <w:sz w:val="20"/>
          <w:szCs w:val="20"/>
          <w:lang w:val="fr-CH"/>
        </w:rPr>
        <w:t>termination</w:t>
      </w:r>
      <w:r w:rsidR="005065F0">
        <w:rPr>
          <w:rFonts w:cs="Garamond-Light"/>
          <w:sz w:val="20"/>
          <w:szCs w:val="20"/>
          <w:lang w:val="fr-CH"/>
        </w:rPr>
        <w:t xml:space="preserve"> et</w:t>
      </w:r>
      <w:r w:rsidR="00701885" w:rsidRPr="00A87757">
        <w:rPr>
          <w:rFonts w:cs="Garamond-Light"/>
          <w:sz w:val="20"/>
          <w:szCs w:val="20"/>
          <w:lang w:val="fr-CH"/>
        </w:rPr>
        <w:t xml:space="preserve"> </w:t>
      </w:r>
      <w:r w:rsidRPr="00A87757">
        <w:rPr>
          <w:rFonts w:cs="Garamond-Light"/>
          <w:sz w:val="20"/>
          <w:szCs w:val="20"/>
          <w:lang w:val="fr-CH"/>
        </w:rPr>
        <w:t>e</w:t>
      </w:r>
      <w:r w:rsidR="00701885" w:rsidRPr="00A87757">
        <w:rPr>
          <w:rFonts w:cs="Garamond-Light"/>
          <w:sz w:val="20"/>
          <w:szCs w:val="20"/>
          <w:lang w:val="fr-CH"/>
        </w:rPr>
        <w:t>s</w:t>
      </w:r>
      <w:r w:rsidRPr="00A87757">
        <w:rPr>
          <w:rFonts w:cs="Garamond-Light"/>
          <w:sz w:val="20"/>
          <w:szCs w:val="20"/>
          <w:lang w:val="fr-CH"/>
        </w:rPr>
        <w:t>t</w:t>
      </w:r>
      <w:r w:rsidR="00701885" w:rsidRPr="00A87757">
        <w:rPr>
          <w:rFonts w:cs="Garamond-Light"/>
          <w:sz w:val="20"/>
          <w:szCs w:val="20"/>
          <w:lang w:val="fr-CH"/>
        </w:rPr>
        <w:t xml:space="preserve"> compatible a</w:t>
      </w:r>
      <w:r>
        <w:rPr>
          <w:rFonts w:cs="Garamond-Light"/>
          <w:sz w:val="20"/>
          <w:szCs w:val="20"/>
          <w:lang w:val="fr-CH"/>
        </w:rPr>
        <w:t xml:space="preserve">vec la souveraineté d’un Etat </w:t>
      </w:r>
      <w:r w:rsidR="00701885" w:rsidRPr="00A87757">
        <w:rPr>
          <w:rFonts w:cs="Garamond-Light"/>
          <w:sz w:val="20"/>
          <w:szCs w:val="20"/>
          <w:lang w:val="fr-CH"/>
        </w:rPr>
        <w:t xml:space="preserve">central, </w:t>
      </w:r>
      <w:r>
        <w:rPr>
          <w:rFonts w:cs="Garamond-Light"/>
          <w:sz w:val="20"/>
          <w:szCs w:val="20"/>
          <w:lang w:val="fr-CH"/>
        </w:rPr>
        <w:t>comme</w:t>
      </w:r>
      <w:r w:rsidR="00701885" w:rsidRPr="00A87757">
        <w:rPr>
          <w:rFonts w:cs="Garamond-Light"/>
          <w:sz w:val="20"/>
          <w:szCs w:val="20"/>
          <w:lang w:val="fr-CH"/>
        </w:rPr>
        <w:t xml:space="preserve"> d</w:t>
      </w:r>
      <w:r>
        <w:rPr>
          <w:rFonts w:cs="Garamond-Light"/>
          <w:sz w:val="20"/>
          <w:szCs w:val="20"/>
          <w:lang w:val="fr-CH"/>
        </w:rPr>
        <w:t>é</w:t>
      </w:r>
      <w:r w:rsidR="00701885" w:rsidRPr="00A87757">
        <w:rPr>
          <w:rFonts w:cs="Garamond-Light"/>
          <w:sz w:val="20"/>
          <w:szCs w:val="20"/>
          <w:lang w:val="fr-CH"/>
        </w:rPr>
        <w:t>montr</w:t>
      </w:r>
      <w:r>
        <w:rPr>
          <w:rFonts w:cs="Garamond-Light"/>
          <w:sz w:val="20"/>
          <w:szCs w:val="20"/>
          <w:lang w:val="fr-CH"/>
        </w:rPr>
        <w:t>é e</w:t>
      </w:r>
      <w:r w:rsidR="00701885" w:rsidRPr="00A87757">
        <w:rPr>
          <w:rFonts w:cs="Garamond-Light"/>
          <w:sz w:val="20"/>
          <w:szCs w:val="20"/>
          <w:lang w:val="fr-CH"/>
        </w:rPr>
        <w:t xml:space="preserve">n </w:t>
      </w:r>
      <w:r>
        <w:rPr>
          <w:rFonts w:cs="Garamond-Light"/>
          <w:sz w:val="20"/>
          <w:szCs w:val="20"/>
          <w:lang w:val="fr-CH"/>
        </w:rPr>
        <w:t>Espagne</w:t>
      </w:r>
      <w:r w:rsidR="00701885" w:rsidRPr="00A87757">
        <w:rPr>
          <w:rFonts w:cs="Garamond-Light"/>
          <w:sz w:val="20"/>
          <w:szCs w:val="20"/>
          <w:lang w:val="fr-CH"/>
        </w:rPr>
        <w:t xml:space="preserve">, </w:t>
      </w:r>
      <w:r>
        <w:rPr>
          <w:rFonts w:cs="Garamond-Light"/>
          <w:sz w:val="20"/>
          <w:szCs w:val="20"/>
          <w:lang w:val="fr-CH"/>
        </w:rPr>
        <w:t>en</w:t>
      </w:r>
      <w:r w:rsidR="00701885" w:rsidRPr="00A87757">
        <w:rPr>
          <w:rFonts w:cs="Garamond-Light"/>
          <w:sz w:val="20"/>
          <w:szCs w:val="20"/>
          <w:lang w:val="fr-CH"/>
        </w:rPr>
        <w:t xml:space="preserve"> </w:t>
      </w:r>
      <w:r>
        <w:rPr>
          <w:rFonts w:cs="Garamond-Light"/>
          <w:sz w:val="20"/>
          <w:szCs w:val="20"/>
          <w:lang w:val="fr-CH"/>
        </w:rPr>
        <w:t>Irlande du Nord</w:t>
      </w:r>
      <w:r w:rsidR="00701885" w:rsidRPr="00A87757">
        <w:rPr>
          <w:rFonts w:cs="Garamond-Light"/>
          <w:sz w:val="20"/>
          <w:szCs w:val="20"/>
          <w:lang w:val="fr-CH"/>
        </w:rPr>
        <w:t xml:space="preserve">, </w:t>
      </w:r>
      <w:r>
        <w:rPr>
          <w:rFonts w:cs="Garamond-Light"/>
          <w:sz w:val="20"/>
          <w:szCs w:val="20"/>
          <w:lang w:val="fr-CH"/>
        </w:rPr>
        <w:t xml:space="preserve">à </w:t>
      </w:r>
      <w:r w:rsidR="00701885" w:rsidRPr="00A87757">
        <w:rPr>
          <w:rFonts w:cs="Garamond-Light"/>
          <w:sz w:val="20"/>
          <w:szCs w:val="20"/>
          <w:lang w:val="fr-CH"/>
        </w:rPr>
        <w:t>Aceh</w:t>
      </w:r>
      <w:r>
        <w:rPr>
          <w:rFonts w:cs="Garamond-Light"/>
          <w:sz w:val="20"/>
          <w:szCs w:val="20"/>
          <w:lang w:val="fr-CH"/>
        </w:rPr>
        <w:t xml:space="preserve"> en Indonésie</w:t>
      </w:r>
      <w:r w:rsidR="00701885" w:rsidRPr="00A87757">
        <w:rPr>
          <w:rFonts w:cs="Garamond-Light"/>
          <w:sz w:val="20"/>
          <w:szCs w:val="20"/>
          <w:lang w:val="fr-CH"/>
        </w:rPr>
        <w:t xml:space="preserve">, </w:t>
      </w:r>
      <w:r>
        <w:rPr>
          <w:rFonts w:cs="Garamond-Light"/>
          <w:sz w:val="20"/>
          <w:szCs w:val="20"/>
          <w:lang w:val="fr-CH"/>
        </w:rPr>
        <w:t xml:space="preserve">en </w:t>
      </w:r>
      <w:r w:rsidR="00701885" w:rsidRPr="00A87757">
        <w:rPr>
          <w:rFonts w:cs="Garamond-Light"/>
          <w:sz w:val="20"/>
          <w:szCs w:val="20"/>
          <w:lang w:val="fr-CH"/>
        </w:rPr>
        <w:t>Adjari</w:t>
      </w:r>
      <w:r>
        <w:rPr>
          <w:rFonts w:cs="Garamond-Light"/>
          <w:sz w:val="20"/>
          <w:szCs w:val="20"/>
          <w:lang w:val="fr-CH"/>
        </w:rPr>
        <w:t>e</w:t>
      </w:r>
      <w:r w:rsidR="001B70FA">
        <w:rPr>
          <w:rFonts w:cs="Garamond-Light"/>
          <w:sz w:val="20"/>
          <w:szCs w:val="20"/>
          <w:lang w:val="fr-CH"/>
        </w:rPr>
        <w:t xml:space="preserve"> au sein de la Géorgie</w:t>
      </w:r>
      <w:r w:rsidR="00701885" w:rsidRPr="00A87757">
        <w:rPr>
          <w:rFonts w:cs="Garamond-Light"/>
          <w:sz w:val="20"/>
          <w:szCs w:val="20"/>
          <w:lang w:val="fr-CH"/>
        </w:rPr>
        <w:t xml:space="preserve">, </w:t>
      </w:r>
      <w:r w:rsidR="001B70FA">
        <w:rPr>
          <w:rFonts w:cs="Garamond-Light"/>
          <w:sz w:val="20"/>
          <w:szCs w:val="20"/>
          <w:lang w:val="fr-CH"/>
        </w:rPr>
        <w:t xml:space="preserve">ou en </w:t>
      </w:r>
      <w:r w:rsidR="00701885" w:rsidRPr="00A87757">
        <w:rPr>
          <w:rFonts w:cs="Garamond-Light"/>
          <w:sz w:val="20"/>
          <w:szCs w:val="20"/>
          <w:lang w:val="fr-CH"/>
        </w:rPr>
        <w:t>Vo</w:t>
      </w:r>
      <w:r w:rsidR="001B70FA">
        <w:rPr>
          <w:rFonts w:cs="Garamond-Light"/>
          <w:sz w:val="20"/>
          <w:szCs w:val="20"/>
          <w:lang w:val="fr-CH"/>
        </w:rPr>
        <w:t>ï</w:t>
      </w:r>
      <w:r w:rsidR="00701885" w:rsidRPr="00A87757">
        <w:rPr>
          <w:rFonts w:cs="Garamond-Light"/>
          <w:sz w:val="20"/>
          <w:szCs w:val="20"/>
          <w:lang w:val="fr-CH"/>
        </w:rPr>
        <w:t>vodin</w:t>
      </w:r>
      <w:r w:rsidR="001B70FA">
        <w:rPr>
          <w:rFonts w:cs="Garamond-Light"/>
          <w:sz w:val="20"/>
          <w:szCs w:val="20"/>
          <w:lang w:val="fr-CH"/>
        </w:rPr>
        <w:t>e</w:t>
      </w:r>
      <w:r w:rsidR="00701885" w:rsidRPr="00A87757">
        <w:rPr>
          <w:rFonts w:cs="Garamond-Light"/>
          <w:sz w:val="20"/>
          <w:szCs w:val="20"/>
          <w:lang w:val="fr-CH"/>
        </w:rPr>
        <w:t xml:space="preserve">. </w:t>
      </w:r>
    </w:p>
    <w:p w:rsidR="001B70FA" w:rsidRPr="001B70FA" w:rsidRDefault="001B70FA" w:rsidP="005E19E1">
      <w:pPr>
        <w:pStyle w:val="ListParagraph"/>
        <w:numPr>
          <w:ilvl w:val="0"/>
          <w:numId w:val="27"/>
        </w:numPr>
        <w:spacing w:after="0" w:line="240" w:lineRule="auto"/>
        <w:jc w:val="both"/>
        <w:rPr>
          <w:sz w:val="20"/>
          <w:szCs w:val="20"/>
          <w:lang w:val="fr-CH"/>
        </w:rPr>
      </w:pPr>
      <w:r w:rsidRPr="001B70FA">
        <w:rPr>
          <w:rFonts w:cs="Garamond-Light"/>
          <w:sz w:val="20"/>
          <w:szCs w:val="20"/>
          <w:lang w:val="fr-CH"/>
        </w:rPr>
        <w:t>Dans d’autres cas, l’</w:t>
      </w:r>
      <w:r w:rsidR="00701885" w:rsidRPr="001B70FA">
        <w:rPr>
          <w:rFonts w:cs="Garamond-Light"/>
          <w:sz w:val="20"/>
          <w:szCs w:val="20"/>
          <w:lang w:val="fr-CH"/>
        </w:rPr>
        <w:t>autonom</w:t>
      </w:r>
      <w:r w:rsidRPr="001B70FA">
        <w:rPr>
          <w:rFonts w:cs="Garamond-Light"/>
          <w:sz w:val="20"/>
          <w:szCs w:val="20"/>
          <w:lang w:val="fr-CH"/>
        </w:rPr>
        <w:t>ie ne peut respecter le droit à l’auto</w:t>
      </w:r>
      <w:r w:rsidR="00701885" w:rsidRPr="001B70FA">
        <w:rPr>
          <w:rFonts w:cs="Garamond-Light"/>
          <w:sz w:val="20"/>
          <w:szCs w:val="20"/>
          <w:lang w:val="fr-CH"/>
        </w:rPr>
        <w:t>-d</w:t>
      </w:r>
      <w:r>
        <w:rPr>
          <w:rFonts w:cs="Garamond-Light"/>
          <w:sz w:val="20"/>
          <w:szCs w:val="20"/>
          <w:lang w:val="fr-CH"/>
        </w:rPr>
        <w:t>é</w:t>
      </w:r>
      <w:r w:rsidR="00701885" w:rsidRPr="001B70FA">
        <w:rPr>
          <w:rFonts w:cs="Garamond-Light"/>
          <w:sz w:val="20"/>
          <w:szCs w:val="20"/>
          <w:lang w:val="fr-CH"/>
        </w:rPr>
        <w:t xml:space="preserve">termination </w:t>
      </w:r>
      <w:r>
        <w:rPr>
          <w:rFonts w:cs="Garamond-Light"/>
          <w:sz w:val="20"/>
          <w:szCs w:val="20"/>
          <w:lang w:val="fr-CH"/>
        </w:rPr>
        <w:t xml:space="preserve">que si les parties font preuve d’un </w:t>
      </w:r>
      <w:r w:rsidRPr="008E0D65">
        <w:rPr>
          <w:rFonts w:cs="Garamond-Light"/>
          <w:b/>
          <w:sz w:val="20"/>
          <w:szCs w:val="20"/>
          <w:lang w:val="fr-CH"/>
        </w:rPr>
        <w:t>sens du compromis pour trouver ensemble une solution au conflit</w:t>
      </w:r>
      <w:r>
        <w:rPr>
          <w:rFonts w:cs="Garamond-Light"/>
          <w:sz w:val="20"/>
          <w:szCs w:val="20"/>
          <w:lang w:val="fr-CH"/>
        </w:rPr>
        <w:t xml:space="preserve"> en réduisant l’incertitude à l’égard de l’avenir</w:t>
      </w:r>
      <w:r w:rsidR="00701885" w:rsidRPr="001B70FA">
        <w:rPr>
          <w:rFonts w:cs="Garamond-Light"/>
          <w:sz w:val="20"/>
          <w:szCs w:val="20"/>
          <w:lang w:val="fr-CH"/>
        </w:rPr>
        <w:t xml:space="preserve">. </w:t>
      </w:r>
    </w:p>
    <w:p w:rsidR="001B70FA" w:rsidRPr="00F33D07" w:rsidRDefault="001B70FA" w:rsidP="005E19E1">
      <w:pPr>
        <w:pStyle w:val="ListParagraph"/>
        <w:numPr>
          <w:ilvl w:val="0"/>
          <w:numId w:val="27"/>
        </w:numPr>
        <w:spacing w:after="0" w:line="240" w:lineRule="auto"/>
        <w:jc w:val="both"/>
        <w:rPr>
          <w:sz w:val="20"/>
          <w:szCs w:val="20"/>
          <w:lang w:val="fr-CH"/>
        </w:rPr>
      </w:pPr>
      <w:r w:rsidRPr="001B70FA">
        <w:rPr>
          <w:rFonts w:cs="Garamond-Light"/>
          <w:sz w:val="20"/>
          <w:szCs w:val="20"/>
          <w:lang w:val="fr-CH"/>
        </w:rPr>
        <w:t>L</w:t>
      </w:r>
      <w:r w:rsidR="00701885" w:rsidRPr="001B70FA">
        <w:rPr>
          <w:rFonts w:cs="Garamond-Light"/>
          <w:sz w:val="20"/>
          <w:szCs w:val="20"/>
          <w:lang w:val="fr-CH"/>
        </w:rPr>
        <w:t>e</w:t>
      </w:r>
      <w:r w:rsidRPr="001B70FA">
        <w:rPr>
          <w:rFonts w:cs="Garamond-Light"/>
          <w:sz w:val="20"/>
          <w:szCs w:val="20"/>
          <w:lang w:val="fr-CH"/>
        </w:rPr>
        <w:t>s</w:t>
      </w:r>
      <w:r w:rsidR="00701885" w:rsidRPr="001B70FA">
        <w:rPr>
          <w:rFonts w:cs="Garamond-Light"/>
          <w:sz w:val="20"/>
          <w:szCs w:val="20"/>
          <w:lang w:val="fr-CH"/>
        </w:rPr>
        <w:t xml:space="preserve"> m</w:t>
      </w:r>
      <w:r w:rsidRPr="001B70FA">
        <w:rPr>
          <w:rFonts w:cs="Garamond-Light"/>
          <w:sz w:val="20"/>
          <w:szCs w:val="20"/>
          <w:lang w:val="fr-CH"/>
        </w:rPr>
        <w:t>é</w:t>
      </w:r>
      <w:r w:rsidR="00701885" w:rsidRPr="001B70FA">
        <w:rPr>
          <w:rFonts w:cs="Garamond-Light"/>
          <w:sz w:val="20"/>
          <w:szCs w:val="20"/>
          <w:lang w:val="fr-CH"/>
        </w:rPr>
        <w:t>thod</w:t>
      </w:r>
      <w:r w:rsidRPr="001B70FA">
        <w:rPr>
          <w:rFonts w:cs="Garamond-Light"/>
          <w:sz w:val="20"/>
          <w:szCs w:val="20"/>
          <w:lang w:val="fr-CH"/>
        </w:rPr>
        <w:t>e</w:t>
      </w:r>
      <w:r w:rsidR="00701885" w:rsidRPr="001B70FA">
        <w:rPr>
          <w:rFonts w:cs="Garamond-Light"/>
          <w:sz w:val="20"/>
          <w:szCs w:val="20"/>
          <w:lang w:val="fr-CH"/>
        </w:rPr>
        <w:t xml:space="preserve">s </w:t>
      </w:r>
      <w:r w:rsidRPr="001B70FA">
        <w:rPr>
          <w:rFonts w:cs="Garamond-Light"/>
          <w:sz w:val="20"/>
          <w:szCs w:val="20"/>
          <w:lang w:val="fr-CH"/>
        </w:rPr>
        <w:t>pour réaliser l’</w:t>
      </w:r>
      <w:r w:rsidR="00701885" w:rsidRPr="001B70FA">
        <w:rPr>
          <w:rFonts w:cs="Garamond-Light"/>
          <w:sz w:val="20"/>
          <w:szCs w:val="20"/>
          <w:lang w:val="fr-CH"/>
        </w:rPr>
        <w:t>autonom</w:t>
      </w:r>
      <w:r w:rsidRPr="001B70FA">
        <w:rPr>
          <w:rFonts w:cs="Garamond-Light"/>
          <w:sz w:val="20"/>
          <w:szCs w:val="20"/>
          <w:lang w:val="fr-CH"/>
        </w:rPr>
        <w:t xml:space="preserve">ie doivent tenir compte des </w:t>
      </w:r>
      <w:r w:rsidRPr="008E0D65">
        <w:rPr>
          <w:rFonts w:cs="Garamond-Light"/>
          <w:b/>
          <w:sz w:val="20"/>
          <w:szCs w:val="20"/>
          <w:lang w:val="fr-CH"/>
        </w:rPr>
        <w:t>narratifs</w:t>
      </w:r>
      <w:r w:rsidR="00701885" w:rsidRPr="008E0D65">
        <w:rPr>
          <w:rFonts w:cs="Garamond-Light"/>
          <w:b/>
          <w:sz w:val="20"/>
          <w:szCs w:val="20"/>
          <w:lang w:val="fr-CH"/>
        </w:rPr>
        <w:t xml:space="preserve"> identit</w:t>
      </w:r>
      <w:r w:rsidRPr="008E0D65">
        <w:rPr>
          <w:rFonts w:cs="Garamond-Light"/>
          <w:b/>
          <w:sz w:val="20"/>
          <w:szCs w:val="20"/>
          <w:lang w:val="fr-CH"/>
        </w:rPr>
        <w:t>aires</w:t>
      </w:r>
      <w:r w:rsidR="00701885" w:rsidRPr="001B70FA">
        <w:rPr>
          <w:rFonts w:cs="Garamond-Light"/>
          <w:sz w:val="20"/>
          <w:szCs w:val="20"/>
          <w:lang w:val="fr-CH"/>
        </w:rPr>
        <w:t xml:space="preserve">, </w:t>
      </w:r>
      <w:r w:rsidRPr="001B70FA">
        <w:rPr>
          <w:rFonts w:cs="Garamond-Light"/>
          <w:sz w:val="20"/>
          <w:szCs w:val="20"/>
          <w:lang w:val="fr-CH"/>
        </w:rPr>
        <w:t>du</w:t>
      </w:r>
      <w:r w:rsidR="00701885" w:rsidRPr="001B70FA">
        <w:rPr>
          <w:rFonts w:cs="Garamond-Light"/>
          <w:sz w:val="20"/>
          <w:szCs w:val="20"/>
          <w:lang w:val="fr-CH"/>
        </w:rPr>
        <w:t xml:space="preserve"> symbolism</w:t>
      </w:r>
      <w:r>
        <w:rPr>
          <w:rFonts w:cs="Garamond-Light"/>
          <w:sz w:val="20"/>
          <w:szCs w:val="20"/>
          <w:lang w:val="fr-CH"/>
        </w:rPr>
        <w:t>e</w:t>
      </w:r>
      <w:r w:rsidR="00701885" w:rsidRPr="001B70FA">
        <w:rPr>
          <w:rFonts w:cs="Garamond-Light"/>
          <w:sz w:val="20"/>
          <w:szCs w:val="20"/>
          <w:lang w:val="fr-CH"/>
        </w:rPr>
        <w:t xml:space="preserve"> </w:t>
      </w:r>
      <w:r>
        <w:rPr>
          <w:rFonts w:cs="Garamond-Light"/>
          <w:sz w:val="20"/>
          <w:szCs w:val="20"/>
          <w:lang w:val="fr-CH"/>
        </w:rPr>
        <w:t>des élites</w:t>
      </w:r>
      <w:r w:rsidR="00701885" w:rsidRPr="001B70FA">
        <w:rPr>
          <w:rFonts w:cs="Garamond-Light"/>
          <w:sz w:val="20"/>
          <w:szCs w:val="20"/>
          <w:lang w:val="fr-CH"/>
        </w:rPr>
        <w:t xml:space="preserve">, </w:t>
      </w:r>
      <w:r>
        <w:rPr>
          <w:rFonts w:cs="Garamond-Light"/>
          <w:sz w:val="20"/>
          <w:szCs w:val="20"/>
          <w:lang w:val="fr-CH"/>
        </w:rPr>
        <w:t>du rôle éventuel de</w:t>
      </w:r>
      <w:r w:rsidR="00701885" w:rsidRPr="001B70FA">
        <w:rPr>
          <w:rFonts w:cs="Garamond-Light"/>
          <w:sz w:val="20"/>
          <w:szCs w:val="20"/>
          <w:lang w:val="fr-CH"/>
        </w:rPr>
        <w:t xml:space="preserve"> m</w:t>
      </w:r>
      <w:r>
        <w:rPr>
          <w:rFonts w:cs="Garamond-Light"/>
          <w:sz w:val="20"/>
          <w:szCs w:val="20"/>
          <w:lang w:val="fr-CH"/>
        </w:rPr>
        <w:t>é</w:t>
      </w:r>
      <w:r w:rsidR="00701885" w:rsidRPr="001B70FA">
        <w:rPr>
          <w:rFonts w:cs="Garamond-Light"/>
          <w:sz w:val="20"/>
          <w:szCs w:val="20"/>
          <w:lang w:val="fr-CH"/>
        </w:rPr>
        <w:t>diat</w:t>
      </w:r>
      <w:r>
        <w:rPr>
          <w:rFonts w:cs="Garamond-Light"/>
          <w:sz w:val="20"/>
          <w:szCs w:val="20"/>
          <w:lang w:val="fr-CH"/>
        </w:rPr>
        <w:t>eu</w:t>
      </w:r>
      <w:r w:rsidR="00701885" w:rsidRPr="001B70FA">
        <w:rPr>
          <w:rFonts w:cs="Garamond-Light"/>
          <w:sz w:val="20"/>
          <w:szCs w:val="20"/>
          <w:lang w:val="fr-CH"/>
        </w:rPr>
        <w:t xml:space="preserve">rs, </w:t>
      </w:r>
      <w:r>
        <w:rPr>
          <w:rFonts w:cs="Garamond-Light"/>
          <w:sz w:val="20"/>
          <w:szCs w:val="20"/>
          <w:lang w:val="fr-CH"/>
        </w:rPr>
        <w:t xml:space="preserve">et de la </w:t>
      </w:r>
      <w:r w:rsidR="00701885" w:rsidRPr="001B70FA">
        <w:rPr>
          <w:rFonts w:cs="Garamond-Light"/>
          <w:sz w:val="20"/>
          <w:szCs w:val="20"/>
          <w:lang w:val="fr-CH"/>
        </w:rPr>
        <w:t xml:space="preserve">nature </w:t>
      </w:r>
      <w:r>
        <w:rPr>
          <w:rFonts w:cs="Garamond-Light"/>
          <w:sz w:val="20"/>
          <w:szCs w:val="20"/>
          <w:lang w:val="fr-CH"/>
        </w:rPr>
        <w:t>des</w:t>
      </w:r>
      <w:r w:rsidR="00701885" w:rsidRPr="001B70FA">
        <w:rPr>
          <w:rFonts w:cs="Garamond-Light"/>
          <w:sz w:val="20"/>
          <w:szCs w:val="20"/>
          <w:lang w:val="fr-CH"/>
        </w:rPr>
        <w:t xml:space="preserve"> n</w:t>
      </w:r>
      <w:r>
        <w:rPr>
          <w:rFonts w:cs="Garamond-Light"/>
          <w:sz w:val="20"/>
          <w:szCs w:val="20"/>
          <w:lang w:val="fr-CH"/>
        </w:rPr>
        <w:t>é</w:t>
      </w:r>
      <w:r w:rsidR="00701885" w:rsidRPr="001B70FA">
        <w:rPr>
          <w:rFonts w:cs="Garamond-Light"/>
          <w:sz w:val="20"/>
          <w:szCs w:val="20"/>
          <w:lang w:val="fr-CH"/>
        </w:rPr>
        <w:t>go</w:t>
      </w:r>
      <w:r>
        <w:rPr>
          <w:rFonts w:cs="Garamond-Light"/>
          <w:sz w:val="20"/>
          <w:szCs w:val="20"/>
          <w:lang w:val="fr-CH"/>
        </w:rPr>
        <w:t>c</w:t>
      </w:r>
      <w:r w:rsidR="00701885" w:rsidRPr="001B70FA">
        <w:rPr>
          <w:rFonts w:cs="Garamond-Light"/>
          <w:sz w:val="20"/>
          <w:szCs w:val="20"/>
          <w:lang w:val="fr-CH"/>
        </w:rPr>
        <w:t xml:space="preserve">iations. </w:t>
      </w:r>
    </w:p>
    <w:p w:rsidR="005065F0" w:rsidRPr="00F33D07" w:rsidRDefault="008E0D65" w:rsidP="005E19E1">
      <w:pPr>
        <w:pStyle w:val="ListParagraph"/>
        <w:numPr>
          <w:ilvl w:val="0"/>
          <w:numId w:val="27"/>
        </w:numPr>
        <w:spacing w:after="0" w:line="240" w:lineRule="auto"/>
        <w:jc w:val="both"/>
        <w:rPr>
          <w:sz w:val="20"/>
          <w:szCs w:val="20"/>
          <w:lang w:val="fr-CH"/>
        </w:rPr>
      </w:pPr>
      <w:r>
        <w:rPr>
          <w:rFonts w:cs="Garamond-Light"/>
          <w:sz w:val="20"/>
          <w:szCs w:val="20"/>
          <w:lang w:val="fr-CH"/>
        </w:rPr>
        <w:t>I</w:t>
      </w:r>
      <w:r w:rsidR="001B70FA" w:rsidRPr="001B70FA">
        <w:rPr>
          <w:rFonts w:cs="Garamond-Light"/>
          <w:sz w:val="20"/>
          <w:szCs w:val="20"/>
          <w:lang w:val="fr-CH"/>
        </w:rPr>
        <w:t>l importe d’être pleinement</w:t>
      </w:r>
      <w:r w:rsidR="00701885" w:rsidRPr="001B70FA">
        <w:rPr>
          <w:rFonts w:cs="Garamond-Light"/>
          <w:sz w:val="20"/>
          <w:szCs w:val="20"/>
          <w:lang w:val="fr-CH"/>
        </w:rPr>
        <w:t xml:space="preserve"> </w:t>
      </w:r>
      <w:r w:rsidR="001B70FA" w:rsidRPr="001B70FA">
        <w:rPr>
          <w:rFonts w:cs="Garamond-Light"/>
          <w:sz w:val="20"/>
          <w:szCs w:val="20"/>
          <w:lang w:val="fr-CH"/>
        </w:rPr>
        <w:t xml:space="preserve">conscient des </w:t>
      </w:r>
      <w:r w:rsidR="001B70FA" w:rsidRPr="008E0D65">
        <w:rPr>
          <w:rFonts w:cs="Garamond-Light"/>
          <w:b/>
          <w:sz w:val="20"/>
          <w:szCs w:val="20"/>
          <w:lang w:val="fr-CH"/>
        </w:rPr>
        <w:t>raisons profondes qui expliquent un mouvement sécessionniste</w:t>
      </w:r>
      <w:r w:rsidR="00701885" w:rsidRPr="001B70FA">
        <w:rPr>
          <w:rFonts w:cs="Garamond-Light"/>
          <w:sz w:val="20"/>
          <w:szCs w:val="20"/>
          <w:lang w:val="fr-CH"/>
        </w:rPr>
        <w:t xml:space="preserve">. </w:t>
      </w:r>
      <w:r w:rsidR="001B70FA" w:rsidRPr="001B70FA">
        <w:rPr>
          <w:rFonts w:cs="Garamond-Light"/>
          <w:sz w:val="20"/>
          <w:szCs w:val="20"/>
          <w:lang w:val="fr-CH"/>
        </w:rPr>
        <w:t>S’il s’agit du</w:t>
      </w:r>
      <w:r w:rsidR="00701885" w:rsidRPr="001B70FA">
        <w:rPr>
          <w:rFonts w:cs="Garamond-Light"/>
          <w:sz w:val="20"/>
          <w:szCs w:val="20"/>
          <w:lang w:val="fr-CH"/>
        </w:rPr>
        <w:t xml:space="preserve"> prestige</w:t>
      </w:r>
      <w:r w:rsidR="001B70FA" w:rsidRPr="001B70FA">
        <w:rPr>
          <w:rFonts w:cs="Garamond-Light"/>
          <w:sz w:val="20"/>
          <w:szCs w:val="20"/>
          <w:lang w:val="fr-CH"/>
        </w:rPr>
        <w:t xml:space="preserve"> et de l’affirmation de l’identité</w:t>
      </w:r>
      <w:r w:rsidR="00701885" w:rsidRPr="001B70FA">
        <w:rPr>
          <w:rFonts w:cs="Garamond-Light"/>
          <w:sz w:val="20"/>
          <w:szCs w:val="20"/>
          <w:lang w:val="fr-CH"/>
        </w:rPr>
        <w:t xml:space="preserve">, </w:t>
      </w:r>
      <w:r w:rsidR="001B70FA" w:rsidRPr="001B70FA">
        <w:rPr>
          <w:rFonts w:cs="Garamond-Light"/>
          <w:sz w:val="20"/>
          <w:szCs w:val="20"/>
          <w:lang w:val="fr-CH"/>
        </w:rPr>
        <w:t xml:space="preserve">il </w:t>
      </w:r>
      <w:r w:rsidR="001B70FA">
        <w:rPr>
          <w:rFonts w:cs="Garamond-Light"/>
          <w:sz w:val="20"/>
          <w:szCs w:val="20"/>
          <w:lang w:val="fr-CH"/>
        </w:rPr>
        <w:t xml:space="preserve">est possible de les satisfaire </w:t>
      </w:r>
      <w:r w:rsidR="005065F0">
        <w:rPr>
          <w:rFonts w:cs="Garamond-Light"/>
          <w:sz w:val="20"/>
          <w:szCs w:val="20"/>
          <w:lang w:val="fr-CH"/>
        </w:rPr>
        <w:t>par un statut d’autonomie</w:t>
      </w:r>
      <w:r w:rsidR="00701885" w:rsidRPr="001B70FA">
        <w:rPr>
          <w:rFonts w:cs="Garamond-Light"/>
          <w:sz w:val="20"/>
          <w:szCs w:val="20"/>
          <w:lang w:val="fr-CH"/>
        </w:rPr>
        <w:t xml:space="preserve">.  </w:t>
      </w:r>
    </w:p>
    <w:p w:rsidR="005065F0" w:rsidRPr="00F33D07" w:rsidRDefault="005065F0" w:rsidP="005E19E1">
      <w:pPr>
        <w:pStyle w:val="ListParagraph"/>
        <w:numPr>
          <w:ilvl w:val="0"/>
          <w:numId w:val="27"/>
        </w:numPr>
        <w:spacing w:after="0" w:line="240" w:lineRule="auto"/>
        <w:jc w:val="both"/>
        <w:rPr>
          <w:sz w:val="20"/>
          <w:szCs w:val="20"/>
          <w:lang w:val="fr-CH"/>
        </w:rPr>
      </w:pPr>
      <w:r w:rsidRPr="005065F0">
        <w:rPr>
          <w:rFonts w:cs="Garamond-Light"/>
          <w:sz w:val="20"/>
          <w:szCs w:val="20"/>
          <w:lang w:val="fr-CH"/>
        </w:rPr>
        <w:t xml:space="preserve">Quant aux </w:t>
      </w:r>
      <w:r w:rsidR="00701885" w:rsidRPr="008E0D65">
        <w:rPr>
          <w:rFonts w:cs="Garamond-Light"/>
          <w:b/>
          <w:sz w:val="20"/>
          <w:szCs w:val="20"/>
          <w:lang w:val="fr-CH"/>
        </w:rPr>
        <w:t>relations</w:t>
      </w:r>
      <w:r w:rsidRPr="008E0D65">
        <w:rPr>
          <w:rFonts w:cs="Garamond-Light"/>
          <w:b/>
          <w:sz w:val="20"/>
          <w:szCs w:val="20"/>
          <w:lang w:val="fr-CH"/>
        </w:rPr>
        <w:t xml:space="preserve"> </w:t>
      </w:r>
      <w:r w:rsidR="00701885" w:rsidRPr="008E0D65">
        <w:rPr>
          <w:rFonts w:cs="Garamond-Light"/>
          <w:b/>
          <w:sz w:val="20"/>
          <w:szCs w:val="20"/>
          <w:lang w:val="fr-CH"/>
        </w:rPr>
        <w:t>ent</w:t>
      </w:r>
      <w:r w:rsidRPr="008E0D65">
        <w:rPr>
          <w:rFonts w:cs="Garamond-Light"/>
          <w:b/>
          <w:sz w:val="20"/>
          <w:szCs w:val="20"/>
          <w:lang w:val="fr-CH"/>
        </w:rPr>
        <w:t>r</w:t>
      </w:r>
      <w:r w:rsidR="00701885" w:rsidRPr="008E0D65">
        <w:rPr>
          <w:rFonts w:cs="Garamond-Light"/>
          <w:b/>
          <w:sz w:val="20"/>
          <w:szCs w:val="20"/>
          <w:lang w:val="fr-CH"/>
        </w:rPr>
        <w:t xml:space="preserve">e </w:t>
      </w:r>
      <w:r w:rsidRPr="008E0D65">
        <w:rPr>
          <w:rFonts w:cs="Garamond-Light"/>
          <w:b/>
          <w:sz w:val="20"/>
          <w:szCs w:val="20"/>
          <w:lang w:val="fr-CH"/>
        </w:rPr>
        <w:t xml:space="preserve">le pouvoir </w:t>
      </w:r>
      <w:r w:rsidR="00701885" w:rsidRPr="008E0D65">
        <w:rPr>
          <w:rFonts w:cs="Garamond-Light"/>
          <w:b/>
          <w:sz w:val="20"/>
          <w:szCs w:val="20"/>
          <w:lang w:val="fr-CH"/>
        </w:rPr>
        <w:t>centr</w:t>
      </w:r>
      <w:r w:rsidRPr="008E0D65">
        <w:rPr>
          <w:rFonts w:cs="Garamond-Light"/>
          <w:b/>
          <w:sz w:val="20"/>
          <w:szCs w:val="20"/>
          <w:lang w:val="fr-CH"/>
        </w:rPr>
        <w:t xml:space="preserve">al </w:t>
      </w:r>
      <w:r w:rsidR="00701885" w:rsidRPr="008E0D65">
        <w:rPr>
          <w:rFonts w:cs="Garamond-Light"/>
          <w:b/>
          <w:sz w:val="20"/>
          <w:szCs w:val="20"/>
          <w:lang w:val="fr-CH"/>
        </w:rPr>
        <w:t>e</w:t>
      </w:r>
      <w:r w:rsidRPr="008E0D65">
        <w:rPr>
          <w:rFonts w:cs="Garamond-Light"/>
          <w:b/>
          <w:sz w:val="20"/>
          <w:szCs w:val="20"/>
          <w:lang w:val="fr-CH"/>
        </w:rPr>
        <w:t>t</w:t>
      </w:r>
      <w:r w:rsidR="00701885" w:rsidRPr="008E0D65">
        <w:rPr>
          <w:rFonts w:cs="Garamond-Light"/>
          <w:b/>
          <w:sz w:val="20"/>
          <w:szCs w:val="20"/>
          <w:lang w:val="fr-CH"/>
        </w:rPr>
        <w:t xml:space="preserve"> </w:t>
      </w:r>
      <w:r w:rsidRPr="008E0D65">
        <w:rPr>
          <w:rFonts w:cs="Garamond-Light"/>
          <w:b/>
          <w:sz w:val="20"/>
          <w:szCs w:val="20"/>
          <w:lang w:val="fr-CH"/>
        </w:rPr>
        <w:t>les</w:t>
      </w:r>
      <w:r w:rsidR="00701885" w:rsidRPr="008E0D65">
        <w:rPr>
          <w:rFonts w:cs="Garamond-Light"/>
          <w:b/>
          <w:sz w:val="20"/>
          <w:szCs w:val="20"/>
          <w:lang w:val="fr-CH"/>
        </w:rPr>
        <w:t xml:space="preserve"> autorit</w:t>
      </w:r>
      <w:r w:rsidRPr="008E0D65">
        <w:rPr>
          <w:rFonts w:cs="Garamond-Light"/>
          <w:b/>
          <w:sz w:val="20"/>
          <w:szCs w:val="20"/>
          <w:lang w:val="fr-CH"/>
        </w:rPr>
        <w:t>é</w:t>
      </w:r>
      <w:r w:rsidR="00701885" w:rsidRPr="008E0D65">
        <w:rPr>
          <w:rFonts w:cs="Garamond-Light"/>
          <w:b/>
          <w:sz w:val="20"/>
          <w:szCs w:val="20"/>
          <w:lang w:val="fr-CH"/>
        </w:rPr>
        <w:t>s</w:t>
      </w:r>
      <w:r w:rsidRPr="008E0D65">
        <w:rPr>
          <w:rFonts w:cs="Garamond-Light"/>
          <w:b/>
          <w:sz w:val="20"/>
          <w:szCs w:val="20"/>
          <w:lang w:val="fr-CH"/>
        </w:rPr>
        <w:t xml:space="preserve"> autonomes</w:t>
      </w:r>
      <w:r w:rsidR="00701885" w:rsidRPr="005065F0">
        <w:rPr>
          <w:rFonts w:cs="Garamond-Light"/>
          <w:sz w:val="20"/>
          <w:szCs w:val="20"/>
          <w:lang w:val="fr-CH"/>
        </w:rPr>
        <w:t xml:space="preserve">, </w:t>
      </w:r>
      <w:r w:rsidR="008E0D65">
        <w:rPr>
          <w:rFonts w:cs="Garamond-Light"/>
          <w:sz w:val="20"/>
          <w:szCs w:val="20"/>
          <w:lang w:val="fr-CH"/>
        </w:rPr>
        <w:t>elles sont affectées par</w:t>
      </w:r>
      <w:r w:rsidRPr="005065F0">
        <w:rPr>
          <w:rFonts w:cs="Garamond-Light"/>
          <w:sz w:val="20"/>
          <w:szCs w:val="20"/>
          <w:lang w:val="fr-CH"/>
        </w:rPr>
        <w:t xml:space="preserve"> d’importantes </w:t>
      </w:r>
      <w:r w:rsidR="00701885" w:rsidRPr="005065F0">
        <w:rPr>
          <w:rFonts w:cs="Garamond-Light"/>
          <w:sz w:val="20"/>
          <w:szCs w:val="20"/>
          <w:lang w:val="fr-CH"/>
        </w:rPr>
        <w:t xml:space="preserve">dimensions </w:t>
      </w:r>
      <w:r w:rsidRPr="005065F0">
        <w:rPr>
          <w:rFonts w:cs="Garamond-Light"/>
          <w:sz w:val="20"/>
          <w:szCs w:val="20"/>
          <w:lang w:val="fr-CH"/>
        </w:rPr>
        <w:t>é</w:t>
      </w:r>
      <w:r>
        <w:rPr>
          <w:rFonts w:cs="Garamond-Light"/>
          <w:sz w:val="20"/>
          <w:szCs w:val="20"/>
          <w:lang w:val="fr-CH"/>
        </w:rPr>
        <w:t xml:space="preserve">conomiques </w:t>
      </w:r>
      <w:r w:rsidR="00701885" w:rsidRPr="005065F0">
        <w:rPr>
          <w:rFonts w:cs="Garamond-Light"/>
          <w:sz w:val="20"/>
          <w:szCs w:val="20"/>
          <w:lang w:val="fr-CH"/>
        </w:rPr>
        <w:t>(d</w:t>
      </w:r>
      <w:r>
        <w:rPr>
          <w:rFonts w:cs="Garamond-Light"/>
          <w:sz w:val="20"/>
          <w:szCs w:val="20"/>
          <w:lang w:val="fr-CH"/>
        </w:rPr>
        <w:t>é</w:t>
      </w:r>
      <w:r w:rsidR="00701885" w:rsidRPr="005065F0">
        <w:rPr>
          <w:rFonts w:cs="Garamond-Light"/>
          <w:sz w:val="20"/>
          <w:szCs w:val="20"/>
          <w:lang w:val="fr-CH"/>
        </w:rPr>
        <w:t>velop</w:t>
      </w:r>
      <w:r>
        <w:rPr>
          <w:rFonts w:cs="Garamond-Light"/>
          <w:sz w:val="20"/>
          <w:szCs w:val="20"/>
          <w:lang w:val="fr-CH"/>
        </w:rPr>
        <w:t>pe</w:t>
      </w:r>
      <w:r w:rsidR="00701885" w:rsidRPr="005065F0">
        <w:rPr>
          <w:rFonts w:cs="Garamond-Light"/>
          <w:sz w:val="20"/>
          <w:szCs w:val="20"/>
          <w:lang w:val="fr-CH"/>
        </w:rPr>
        <w:t>ment</w:t>
      </w:r>
      <w:r>
        <w:rPr>
          <w:rFonts w:cs="Garamond-Light"/>
          <w:sz w:val="20"/>
          <w:szCs w:val="20"/>
          <w:lang w:val="fr-CH"/>
        </w:rPr>
        <w:t xml:space="preserve"> conjoint ou séparé</w:t>
      </w:r>
      <w:r w:rsidR="00701885" w:rsidRPr="005065F0">
        <w:rPr>
          <w:rFonts w:cs="Garamond-Light"/>
          <w:sz w:val="20"/>
          <w:szCs w:val="20"/>
          <w:lang w:val="fr-CH"/>
        </w:rPr>
        <w:t xml:space="preserve">, </w:t>
      </w:r>
      <w:r>
        <w:rPr>
          <w:rFonts w:cs="Garamond-Light"/>
          <w:sz w:val="20"/>
          <w:szCs w:val="20"/>
          <w:lang w:val="fr-CH"/>
        </w:rPr>
        <w:t>pa</w:t>
      </w:r>
      <w:r w:rsidR="00701885" w:rsidRPr="005065F0">
        <w:rPr>
          <w:rFonts w:cs="Garamond-Light"/>
          <w:sz w:val="20"/>
          <w:szCs w:val="20"/>
          <w:lang w:val="fr-CH"/>
        </w:rPr>
        <w:t>r</w:t>
      </w:r>
      <w:r>
        <w:rPr>
          <w:rFonts w:cs="Garamond-Light"/>
          <w:sz w:val="20"/>
          <w:szCs w:val="20"/>
          <w:lang w:val="fr-CH"/>
        </w:rPr>
        <w:t>t</w:t>
      </w:r>
      <w:r w:rsidR="00701885" w:rsidRPr="005065F0">
        <w:rPr>
          <w:rFonts w:cs="Garamond-Light"/>
          <w:sz w:val="20"/>
          <w:szCs w:val="20"/>
          <w:lang w:val="fr-CH"/>
        </w:rPr>
        <w:t>a</w:t>
      </w:r>
      <w:r>
        <w:rPr>
          <w:rFonts w:cs="Garamond-Light"/>
          <w:sz w:val="20"/>
          <w:szCs w:val="20"/>
          <w:lang w:val="fr-CH"/>
        </w:rPr>
        <w:t>ge des ressources</w:t>
      </w:r>
      <w:r w:rsidR="00701885" w:rsidRPr="005065F0">
        <w:rPr>
          <w:rFonts w:cs="Garamond-Light"/>
          <w:sz w:val="20"/>
          <w:szCs w:val="20"/>
          <w:lang w:val="fr-CH"/>
        </w:rPr>
        <w:t xml:space="preserve">, etc.), </w:t>
      </w:r>
      <w:r>
        <w:rPr>
          <w:rFonts w:cs="Garamond-Light"/>
          <w:sz w:val="20"/>
          <w:szCs w:val="20"/>
          <w:lang w:val="fr-CH"/>
        </w:rPr>
        <w:t>mais</w:t>
      </w:r>
      <w:r w:rsidR="00701885" w:rsidRPr="005065F0">
        <w:rPr>
          <w:rFonts w:cs="Garamond-Light"/>
          <w:sz w:val="20"/>
          <w:szCs w:val="20"/>
          <w:lang w:val="fr-CH"/>
        </w:rPr>
        <w:t xml:space="preserve"> a</w:t>
      </w:r>
      <w:r>
        <w:rPr>
          <w:rFonts w:cs="Garamond-Light"/>
          <w:sz w:val="20"/>
          <w:szCs w:val="20"/>
          <w:lang w:val="fr-CH"/>
        </w:rPr>
        <w:t>u</w:t>
      </w:r>
      <w:r w:rsidR="00701885" w:rsidRPr="005065F0">
        <w:rPr>
          <w:rFonts w:cs="Garamond-Light"/>
          <w:sz w:val="20"/>
          <w:szCs w:val="20"/>
          <w:lang w:val="fr-CH"/>
        </w:rPr>
        <w:t>s</w:t>
      </w:r>
      <w:r>
        <w:rPr>
          <w:rFonts w:cs="Garamond-Light"/>
          <w:sz w:val="20"/>
          <w:szCs w:val="20"/>
          <w:lang w:val="fr-CH"/>
        </w:rPr>
        <w:t>si</w:t>
      </w:r>
      <w:r w:rsidR="00701885" w:rsidRPr="005065F0">
        <w:rPr>
          <w:rFonts w:cs="Garamond-Light"/>
          <w:sz w:val="20"/>
          <w:szCs w:val="20"/>
          <w:lang w:val="fr-CH"/>
        </w:rPr>
        <w:t xml:space="preserve"> </w:t>
      </w:r>
      <w:r>
        <w:rPr>
          <w:rFonts w:cs="Garamond-Light"/>
          <w:sz w:val="20"/>
          <w:szCs w:val="20"/>
          <w:lang w:val="fr-CH"/>
        </w:rPr>
        <w:t>juridiques</w:t>
      </w:r>
      <w:r w:rsidR="00701885" w:rsidRPr="005065F0">
        <w:rPr>
          <w:rFonts w:cs="Garamond-Light"/>
          <w:sz w:val="20"/>
          <w:szCs w:val="20"/>
          <w:lang w:val="fr-CH"/>
        </w:rPr>
        <w:t xml:space="preserve"> (</w:t>
      </w:r>
      <w:r>
        <w:rPr>
          <w:rFonts w:cs="Garamond-Light"/>
          <w:sz w:val="20"/>
          <w:szCs w:val="20"/>
          <w:lang w:val="fr-CH"/>
        </w:rPr>
        <w:t xml:space="preserve">normes </w:t>
      </w:r>
      <w:r w:rsidR="00701885" w:rsidRPr="005065F0">
        <w:rPr>
          <w:rFonts w:cs="Garamond-Light"/>
          <w:sz w:val="20"/>
          <w:szCs w:val="20"/>
          <w:lang w:val="fr-CH"/>
        </w:rPr>
        <w:t>international</w:t>
      </w:r>
      <w:r>
        <w:rPr>
          <w:rFonts w:cs="Garamond-Light"/>
          <w:sz w:val="20"/>
          <w:szCs w:val="20"/>
          <w:lang w:val="fr-CH"/>
        </w:rPr>
        <w:t>e</w:t>
      </w:r>
      <w:r w:rsidR="00701885" w:rsidRPr="005065F0">
        <w:rPr>
          <w:rFonts w:cs="Garamond-Light"/>
          <w:sz w:val="20"/>
          <w:szCs w:val="20"/>
          <w:lang w:val="fr-CH"/>
        </w:rPr>
        <w:t>s</w:t>
      </w:r>
      <w:r>
        <w:rPr>
          <w:rFonts w:cs="Garamond-Light"/>
          <w:sz w:val="20"/>
          <w:szCs w:val="20"/>
          <w:lang w:val="fr-CH"/>
        </w:rPr>
        <w:t>, droits des</w:t>
      </w:r>
      <w:r w:rsidR="00701885" w:rsidRPr="005065F0">
        <w:rPr>
          <w:rFonts w:cs="Garamond-Light"/>
          <w:sz w:val="20"/>
          <w:szCs w:val="20"/>
          <w:lang w:val="fr-CH"/>
        </w:rPr>
        <w:t xml:space="preserve"> minorit</w:t>
      </w:r>
      <w:r>
        <w:rPr>
          <w:rFonts w:cs="Garamond-Light"/>
          <w:sz w:val="20"/>
          <w:szCs w:val="20"/>
          <w:lang w:val="fr-CH"/>
        </w:rPr>
        <w:t>é</w:t>
      </w:r>
      <w:r w:rsidR="00701885" w:rsidRPr="005065F0">
        <w:rPr>
          <w:rFonts w:cs="Garamond-Light"/>
          <w:sz w:val="20"/>
          <w:szCs w:val="20"/>
          <w:lang w:val="fr-CH"/>
        </w:rPr>
        <w:t>s)</w:t>
      </w:r>
      <w:r>
        <w:rPr>
          <w:rFonts w:cs="Garamond-Light"/>
          <w:sz w:val="20"/>
          <w:szCs w:val="20"/>
          <w:lang w:val="fr-CH"/>
        </w:rPr>
        <w:t>.</w:t>
      </w:r>
    </w:p>
    <w:p w:rsidR="00A92675" w:rsidRPr="00600516" w:rsidRDefault="005065F0" w:rsidP="005E19E1">
      <w:pPr>
        <w:pStyle w:val="ListParagraph"/>
        <w:numPr>
          <w:ilvl w:val="0"/>
          <w:numId w:val="27"/>
        </w:numPr>
        <w:spacing w:after="0" w:line="240" w:lineRule="auto"/>
        <w:jc w:val="both"/>
        <w:rPr>
          <w:sz w:val="20"/>
          <w:szCs w:val="20"/>
          <w:lang w:val="fr-CH"/>
        </w:rPr>
      </w:pPr>
      <w:r w:rsidRPr="005065F0">
        <w:rPr>
          <w:rFonts w:cs="Garamond-Light"/>
          <w:sz w:val="20"/>
          <w:szCs w:val="20"/>
          <w:lang w:val="fr-CH"/>
        </w:rPr>
        <w:t xml:space="preserve">S’agissant des </w:t>
      </w:r>
      <w:r w:rsidRPr="008E0D65">
        <w:rPr>
          <w:rFonts w:cs="Garamond-Light"/>
          <w:b/>
          <w:sz w:val="20"/>
          <w:szCs w:val="20"/>
          <w:lang w:val="fr-CH"/>
        </w:rPr>
        <w:t>garanties</w:t>
      </w:r>
      <w:r w:rsidR="00701885" w:rsidRPr="008E0D65">
        <w:rPr>
          <w:rFonts w:cs="Garamond-Light"/>
          <w:b/>
          <w:sz w:val="20"/>
          <w:szCs w:val="20"/>
          <w:lang w:val="fr-CH"/>
        </w:rPr>
        <w:t xml:space="preserve"> institution</w:t>
      </w:r>
      <w:r w:rsidRPr="008E0D65">
        <w:rPr>
          <w:rFonts w:cs="Garamond-Light"/>
          <w:b/>
          <w:sz w:val="20"/>
          <w:szCs w:val="20"/>
          <w:lang w:val="fr-CH"/>
        </w:rPr>
        <w:t>nel</w:t>
      </w:r>
      <w:r w:rsidR="00701885" w:rsidRPr="008E0D65">
        <w:rPr>
          <w:rFonts w:cs="Garamond-Light"/>
          <w:b/>
          <w:sz w:val="20"/>
          <w:szCs w:val="20"/>
          <w:lang w:val="fr-CH"/>
        </w:rPr>
        <w:t>l</w:t>
      </w:r>
      <w:r w:rsidRPr="008E0D65">
        <w:rPr>
          <w:rFonts w:cs="Garamond-Light"/>
          <w:b/>
          <w:sz w:val="20"/>
          <w:szCs w:val="20"/>
          <w:lang w:val="fr-CH"/>
        </w:rPr>
        <w:t>es</w:t>
      </w:r>
      <w:r w:rsidR="00701885" w:rsidRPr="008E0D65">
        <w:rPr>
          <w:rFonts w:cs="Garamond-Light"/>
          <w:b/>
          <w:sz w:val="20"/>
          <w:szCs w:val="20"/>
          <w:lang w:val="fr-CH"/>
        </w:rPr>
        <w:t xml:space="preserve"> </w:t>
      </w:r>
      <w:r w:rsidRPr="008E0D65">
        <w:rPr>
          <w:rFonts w:cs="Garamond-Light"/>
          <w:b/>
          <w:sz w:val="20"/>
          <w:szCs w:val="20"/>
          <w:lang w:val="fr-CH"/>
        </w:rPr>
        <w:t xml:space="preserve">et </w:t>
      </w:r>
      <w:r w:rsidR="00701885" w:rsidRPr="008E0D65">
        <w:rPr>
          <w:rFonts w:cs="Garamond-Light"/>
          <w:b/>
          <w:sz w:val="20"/>
          <w:szCs w:val="20"/>
          <w:lang w:val="fr-CH"/>
        </w:rPr>
        <w:t>constitution</w:t>
      </w:r>
      <w:r w:rsidRPr="008E0D65">
        <w:rPr>
          <w:rFonts w:cs="Garamond-Light"/>
          <w:b/>
          <w:sz w:val="20"/>
          <w:szCs w:val="20"/>
          <w:lang w:val="fr-CH"/>
        </w:rPr>
        <w:t>nel</w:t>
      </w:r>
      <w:r w:rsidR="00701885" w:rsidRPr="008E0D65">
        <w:rPr>
          <w:rFonts w:cs="Garamond-Light"/>
          <w:b/>
          <w:sz w:val="20"/>
          <w:szCs w:val="20"/>
          <w:lang w:val="fr-CH"/>
        </w:rPr>
        <w:t>les</w:t>
      </w:r>
      <w:r w:rsidR="00701885" w:rsidRPr="005065F0">
        <w:rPr>
          <w:rFonts w:cs="Garamond-Light"/>
          <w:sz w:val="20"/>
          <w:szCs w:val="20"/>
          <w:lang w:val="fr-CH"/>
        </w:rPr>
        <w:t xml:space="preserve">, </w:t>
      </w:r>
      <w:r w:rsidRPr="005065F0">
        <w:rPr>
          <w:rFonts w:cs="Garamond-Light"/>
          <w:sz w:val="20"/>
          <w:szCs w:val="20"/>
          <w:lang w:val="fr-CH"/>
        </w:rPr>
        <w:t>les bonnes</w:t>
      </w:r>
      <w:r w:rsidR="00701885" w:rsidRPr="005065F0">
        <w:rPr>
          <w:rFonts w:cs="Garamond-Light"/>
          <w:sz w:val="20"/>
          <w:szCs w:val="20"/>
          <w:lang w:val="fr-CH"/>
        </w:rPr>
        <w:t xml:space="preserve"> prati</w:t>
      </w:r>
      <w:r w:rsidRPr="005065F0">
        <w:rPr>
          <w:rFonts w:cs="Garamond-Light"/>
          <w:sz w:val="20"/>
          <w:szCs w:val="20"/>
          <w:lang w:val="fr-CH"/>
        </w:rPr>
        <w:t>qu</w:t>
      </w:r>
      <w:r w:rsidR="00701885" w:rsidRPr="005065F0">
        <w:rPr>
          <w:rFonts w:cs="Garamond-Light"/>
          <w:sz w:val="20"/>
          <w:szCs w:val="20"/>
          <w:lang w:val="fr-CH"/>
        </w:rPr>
        <w:t xml:space="preserve">es </w:t>
      </w:r>
      <w:r w:rsidRPr="005065F0">
        <w:rPr>
          <w:rFonts w:cs="Garamond-Light"/>
          <w:sz w:val="20"/>
          <w:szCs w:val="20"/>
          <w:lang w:val="fr-CH"/>
        </w:rPr>
        <w:t xml:space="preserve">incluent la </w:t>
      </w:r>
      <w:r w:rsidR="00701885" w:rsidRPr="005065F0">
        <w:rPr>
          <w:rFonts w:cs="Garamond-Light"/>
          <w:sz w:val="20"/>
          <w:szCs w:val="20"/>
          <w:lang w:val="fr-CH"/>
        </w:rPr>
        <w:t>repr</w:t>
      </w:r>
      <w:r w:rsidRPr="005065F0">
        <w:rPr>
          <w:rFonts w:cs="Garamond-Light"/>
          <w:sz w:val="20"/>
          <w:szCs w:val="20"/>
          <w:lang w:val="fr-CH"/>
        </w:rPr>
        <w:t>é</w:t>
      </w:r>
      <w:r w:rsidR="00701885" w:rsidRPr="005065F0">
        <w:rPr>
          <w:rFonts w:cs="Garamond-Light"/>
          <w:sz w:val="20"/>
          <w:szCs w:val="20"/>
          <w:lang w:val="fr-CH"/>
        </w:rPr>
        <w:t xml:space="preserve">sentation </w:t>
      </w:r>
      <w:r w:rsidRPr="005065F0">
        <w:rPr>
          <w:rFonts w:cs="Garamond-Light"/>
          <w:sz w:val="20"/>
          <w:szCs w:val="20"/>
          <w:lang w:val="fr-CH"/>
        </w:rPr>
        <w:t xml:space="preserve">proportionnelle au sein d’une assemblée </w:t>
      </w:r>
      <w:r w:rsidR="00701885" w:rsidRPr="005065F0">
        <w:rPr>
          <w:rFonts w:cs="Garamond-Light"/>
          <w:sz w:val="20"/>
          <w:szCs w:val="20"/>
          <w:lang w:val="fr-CH"/>
        </w:rPr>
        <w:t>constitu</w:t>
      </w:r>
      <w:r w:rsidRPr="005065F0">
        <w:rPr>
          <w:rFonts w:cs="Garamond-Light"/>
          <w:sz w:val="20"/>
          <w:szCs w:val="20"/>
          <w:lang w:val="fr-CH"/>
        </w:rPr>
        <w:t>an</w:t>
      </w:r>
      <w:r w:rsidR="00701885" w:rsidRPr="005065F0">
        <w:rPr>
          <w:rFonts w:cs="Garamond-Light"/>
          <w:sz w:val="20"/>
          <w:szCs w:val="20"/>
          <w:lang w:val="fr-CH"/>
        </w:rPr>
        <w:t>t</w:t>
      </w:r>
      <w:r w:rsidRPr="005065F0">
        <w:rPr>
          <w:rFonts w:cs="Garamond-Light"/>
          <w:sz w:val="20"/>
          <w:szCs w:val="20"/>
          <w:lang w:val="fr-CH"/>
        </w:rPr>
        <w:t>e</w:t>
      </w:r>
      <w:r w:rsidR="00701885" w:rsidRPr="005065F0">
        <w:rPr>
          <w:rFonts w:cs="Garamond-Light"/>
          <w:sz w:val="20"/>
          <w:szCs w:val="20"/>
          <w:lang w:val="fr-CH"/>
        </w:rPr>
        <w:t xml:space="preserve"> (</w:t>
      </w:r>
      <w:r>
        <w:rPr>
          <w:rFonts w:cs="Garamond-Light"/>
          <w:sz w:val="20"/>
          <w:szCs w:val="20"/>
          <w:lang w:val="fr-CH"/>
        </w:rPr>
        <w:t>comme e</w:t>
      </w:r>
      <w:r w:rsidR="00701885" w:rsidRPr="005065F0">
        <w:rPr>
          <w:rFonts w:cs="Garamond-Light"/>
          <w:sz w:val="20"/>
          <w:szCs w:val="20"/>
          <w:lang w:val="fr-CH"/>
        </w:rPr>
        <w:t>n Afri</w:t>
      </w:r>
      <w:r>
        <w:rPr>
          <w:rFonts w:cs="Garamond-Light"/>
          <w:sz w:val="20"/>
          <w:szCs w:val="20"/>
          <w:lang w:val="fr-CH"/>
        </w:rPr>
        <w:t>que du Sud ou au</w:t>
      </w:r>
      <w:r w:rsidR="00701885" w:rsidRPr="005065F0">
        <w:rPr>
          <w:rFonts w:cs="Garamond-Light"/>
          <w:sz w:val="20"/>
          <w:szCs w:val="20"/>
          <w:lang w:val="fr-CH"/>
        </w:rPr>
        <w:t xml:space="preserve"> N</w:t>
      </w:r>
      <w:r>
        <w:rPr>
          <w:rFonts w:cs="Garamond-Light"/>
          <w:sz w:val="20"/>
          <w:szCs w:val="20"/>
          <w:lang w:val="fr-CH"/>
        </w:rPr>
        <w:t>é</w:t>
      </w:r>
      <w:r w:rsidR="00701885" w:rsidRPr="005065F0">
        <w:rPr>
          <w:rFonts w:cs="Garamond-Light"/>
          <w:sz w:val="20"/>
          <w:szCs w:val="20"/>
          <w:lang w:val="fr-CH"/>
        </w:rPr>
        <w:t xml:space="preserve">pal). </w:t>
      </w:r>
    </w:p>
    <w:p w:rsidR="00A92675" w:rsidRDefault="00701885" w:rsidP="00A92675">
      <w:pPr>
        <w:spacing w:after="0" w:line="240" w:lineRule="auto"/>
        <w:jc w:val="both"/>
        <w:rPr>
          <w:rFonts w:cs="Garamond-Light"/>
          <w:sz w:val="20"/>
          <w:szCs w:val="20"/>
          <w:lang w:val="fr-CH"/>
        </w:rPr>
      </w:pPr>
      <w:r w:rsidRPr="00A92675">
        <w:rPr>
          <w:rFonts w:cs="Garamond-Light"/>
          <w:sz w:val="20"/>
          <w:szCs w:val="20"/>
          <w:lang w:val="fr-CH"/>
        </w:rPr>
        <w:t>Tr</w:t>
      </w:r>
      <w:r w:rsidR="00A92675" w:rsidRPr="00A92675">
        <w:rPr>
          <w:rFonts w:cs="Garamond-Light"/>
          <w:sz w:val="20"/>
          <w:szCs w:val="20"/>
          <w:lang w:val="fr-CH"/>
        </w:rPr>
        <w:t>ois s</w:t>
      </w:r>
      <w:r w:rsidR="00C52D15">
        <w:rPr>
          <w:rFonts w:cs="Garamond-Light"/>
          <w:sz w:val="20"/>
          <w:szCs w:val="20"/>
          <w:lang w:val="fr-CH"/>
        </w:rPr>
        <w:t>é</w:t>
      </w:r>
      <w:r w:rsidR="00A92675" w:rsidRPr="00A92675">
        <w:rPr>
          <w:rFonts w:cs="Garamond-Light"/>
          <w:sz w:val="20"/>
          <w:szCs w:val="20"/>
          <w:lang w:val="fr-CH"/>
        </w:rPr>
        <w:t xml:space="preserve">ries de </w:t>
      </w:r>
      <w:r w:rsidRPr="00A92675">
        <w:rPr>
          <w:rFonts w:cs="Garamond-Light"/>
          <w:sz w:val="20"/>
          <w:szCs w:val="20"/>
          <w:lang w:val="fr-CH"/>
        </w:rPr>
        <w:t>recomm</w:t>
      </w:r>
      <w:r w:rsidR="00A92675" w:rsidRPr="00A92675">
        <w:rPr>
          <w:rFonts w:cs="Garamond-Light"/>
          <w:sz w:val="20"/>
          <w:szCs w:val="20"/>
          <w:lang w:val="fr-CH"/>
        </w:rPr>
        <w:t>a</w:t>
      </w:r>
      <w:r w:rsidRPr="00A92675">
        <w:rPr>
          <w:rFonts w:cs="Garamond-Light"/>
          <w:sz w:val="20"/>
          <w:szCs w:val="20"/>
          <w:lang w:val="fr-CH"/>
        </w:rPr>
        <w:t xml:space="preserve">ndations </w:t>
      </w:r>
      <w:r w:rsidR="00A92675" w:rsidRPr="00A92675">
        <w:rPr>
          <w:rFonts w:cs="Garamond-Light"/>
          <w:sz w:val="20"/>
          <w:szCs w:val="20"/>
          <w:lang w:val="fr-CH"/>
        </w:rPr>
        <w:t xml:space="preserve">en ont été formulées </w:t>
      </w:r>
      <w:r w:rsidRPr="00A92675">
        <w:rPr>
          <w:rFonts w:cs="Garamond-Light"/>
          <w:sz w:val="20"/>
          <w:szCs w:val="20"/>
          <w:lang w:val="fr-CH"/>
        </w:rPr>
        <w:t xml:space="preserve">: </w:t>
      </w:r>
    </w:p>
    <w:p w:rsidR="00A92675" w:rsidRPr="005E19E1" w:rsidRDefault="00A92675" w:rsidP="005E19E1">
      <w:pPr>
        <w:pStyle w:val="ListParagraph"/>
        <w:numPr>
          <w:ilvl w:val="0"/>
          <w:numId w:val="28"/>
        </w:numPr>
        <w:spacing w:after="0" w:line="240" w:lineRule="auto"/>
        <w:ind w:left="709"/>
        <w:jc w:val="both"/>
        <w:rPr>
          <w:sz w:val="20"/>
          <w:szCs w:val="20"/>
          <w:lang w:val="fr-CH"/>
        </w:rPr>
      </w:pPr>
      <w:r w:rsidRPr="005E19E1">
        <w:rPr>
          <w:rFonts w:cs="Garamond-Light"/>
          <w:sz w:val="20"/>
          <w:szCs w:val="20"/>
          <w:lang w:val="fr-CH"/>
        </w:rPr>
        <w:t xml:space="preserve">Rendre </w:t>
      </w:r>
      <w:r w:rsidRPr="008E0D65">
        <w:rPr>
          <w:rFonts w:cs="Garamond-Light"/>
          <w:b/>
          <w:sz w:val="20"/>
          <w:szCs w:val="20"/>
          <w:lang w:val="fr-CH"/>
        </w:rPr>
        <w:t>l’</w:t>
      </w:r>
      <w:r w:rsidR="00701885" w:rsidRPr="008E0D65">
        <w:rPr>
          <w:rFonts w:cs="Garamond-Light"/>
          <w:b/>
          <w:sz w:val="20"/>
          <w:szCs w:val="20"/>
          <w:lang w:val="fr-CH"/>
        </w:rPr>
        <w:t>unit</w:t>
      </w:r>
      <w:r w:rsidRPr="008E0D65">
        <w:rPr>
          <w:rFonts w:cs="Garamond-Light"/>
          <w:b/>
          <w:sz w:val="20"/>
          <w:szCs w:val="20"/>
          <w:lang w:val="fr-CH"/>
        </w:rPr>
        <w:t>é du pays</w:t>
      </w:r>
      <w:r w:rsidR="00701885" w:rsidRPr="008E0D65">
        <w:rPr>
          <w:rFonts w:cs="Garamond-Light"/>
          <w:b/>
          <w:sz w:val="20"/>
          <w:szCs w:val="20"/>
          <w:lang w:val="fr-CH"/>
        </w:rPr>
        <w:t xml:space="preserve"> attractive</w:t>
      </w:r>
      <w:r w:rsidR="00701885" w:rsidRPr="005E19E1">
        <w:rPr>
          <w:rFonts w:cs="Garamond-Light"/>
          <w:sz w:val="20"/>
          <w:szCs w:val="20"/>
          <w:lang w:val="fr-CH"/>
        </w:rPr>
        <w:t xml:space="preserve"> </w:t>
      </w:r>
      <w:r w:rsidRPr="005E19E1">
        <w:rPr>
          <w:rFonts w:cs="Garamond-Light"/>
          <w:sz w:val="20"/>
          <w:szCs w:val="20"/>
          <w:lang w:val="fr-CH"/>
        </w:rPr>
        <w:t xml:space="preserve">afin d’éviter la </w:t>
      </w:r>
      <w:r w:rsidR="00701885" w:rsidRPr="005E19E1">
        <w:rPr>
          <w:rFonts w:cs="Garamond-Light"/>
          <w:sz w:val="20"/>
          <w:szCs w:val="20"/>
          <w:lang w:val="fr-CH"/>
        </w:rPr>
        <w:t>s</w:t>
      </w:r>
      <w:r w:rsidRPr="005E19E1">
        <w:rPr>
          <w:rFonts w:cs="Garamond-Light"/>
          <w:sz w:val="20"/>
          <w:szCs w:val="20"/>
          <w:lang w:val="fr-CH"/>
        </w:rPr>
        <w:t>é</w:t>
      </w:r>
      <w:r w:rsidR="00701885" w:rsidRPr="005E19E1">
        <w:rPr>
          <w:rFonts w:cs="Garamond-Light"/>
          <w:sz w:val="20"/>
          <w:szCs w:val="20"/>
          <w:lang w:val="fr-CH"/>
        </w:rPr>
        <w:t xml:space="preserve">paration </w:t>
      </w:r>
      <w:r w:rsidRPr="005E19E1">
        <w:rPr>
          <w:rFonts w:cs="Garamond-Light"/>
          <w:sz w:val="20"/>
          <w:szCs w:val="20"/>
          <w:lang w:val="fr-CH"/>
        </w:rPr>
        <w:t xml:space="preserve">et le conflit </w:t>
      </w:r>
      <w:r w:rsidR="00701885" w:rsidRPr="005E19E1">
        <w:rPr>
          <w:rFonts w:cs="Garamond-Light"/>
          <w:sz w:val="20"/>
          <w:szCs w:val="20"/>
          <w:lang w:val="fr-CH"/>
        </w:rPr>
        <w:t>arm</w:t>
      </w:r>
      <w:r w:rsidRPr="005E19E1">
        <w:rPr>
          <w:rFonts w:cs="Garamond-Light"/>
          <w:sz w:val="20"/>
          <w:szCs w:val="20"/>
          <w:lang w:val="fr-CH"/>
        </w:rPr>
        <w:t xml:space="preserve">é </w:t>
      </w:r>
      <w:r w:rsidR="00701885" w:rsidRPr="005E19E1">
        <w:rPr>
          <w:rFonts w:cs="Garamond-Light"/>
          <w:sz w:val="20"/>
          <w:szCs w:val="20"/>
          <w:lang w:val="fr-CH"/>
        </w:rPr>
        <w:t xml:space="preserve">; </w:t>
      </w:r>
    </w:p>
    <w:p w:rsidR="00A92675" w:rsidRPr="005E19E1" w:rsidRDefault="00EE602F" w:rsidP="005E19E1">
      <w:pPr>
        <w:pStyle w:val="ListParagraph"/>
        <w:numPr>
          <w:ilvl w:val="0"/>
          <w:numId w:val="28"/>
        </w:numPr>
        <w:spacing w:after="0" w:line="240" w:lineRule="auto"/>
        <w:ind w:left="709"/>
        <w:jc w:val="both"/>
        <w:rPr>
          <w:sz w:val="20"/>
          <w:szCs w:val="20"/>
          <w:lang w:val="fr-CH"/>
        </w:rPr>
      </w:pPr>
      <w:r w:rsidRPr="005E19E1">
        <w:rPr>
          <w:rFonts w:cs="Garamond-Light"/>
          <w:sz w:val="20"/>
          <w:szCs w:val="20"/>
          <w:lang w:val="fr-CH"/>
        </w:rPr>
        <w:t>A  cette fin,</w:t>
      </w:r>
      <w:r w:rsidR="00A92675" w:rsidRPr="005E19E1">
        <w:rPr>
          <w:rFonts w:cs="Garamond-Light"/>
          <w:sz w:val="20"/>
          <w:szCs w:val="20"/>
          <w:lang w:val="fr-CH"/>
        </w:rPr>
        <w:t xml:space="preserve"> générer des</w:t>
      </w:r>
      <w:r w:rsidR="00701885" w:rsidRPr="005E19E1">
        <w:rPr>
          <w:rFonts w:cs="Garamond-Light"/>
          <w:sz w:val="20"/>
          <w:szCs w:val="20"/>
          <w:lang w:val="fr-CH"/>
        </w:rPr>
        <w:t xml:space="preserve"> ‘</w:t>
      </w:r>
      <w:r w:rsidR="00701885" w:rsidRPr="008E0D65">
        <w:rPr>
          <w:rFonts w:cs="Garamond-Light"/>
          <w:b/>
          <w:sz w:val="20"/>
          <w:szCs w:val="20"/>
          <w:lang w:val="fr-CH"/>
        </w:rPr>
        <w:t>dividend</w:t>
      </w:r>
      <w:r w:rsidR="00A92675" w:rsidRPr="008E0D65">
        <w:rPr>
          <w:rFonts w:cs="Garamond-Light"/>
          <w:b/>
          <w:sz w:val="20"/>
          <w:szCs w:val="20"/>
          <w:lang w:val="fr-CH"/>
        </w:rPr>
        <w:t>e</w:t>
      </w:r>
      <w:r w:rsidR="00701885" w:rsidRPr="008E0D65">
        <w:rPr>
          <w:rFonts w:cs="Garamond-Light"/>
          <w:b/>
          <w:sz w:val="20"/>
          <w:szCs w:val="20"/>
          <w:lang w:val="fr-CH"/>
        </w:rPr>
        <w:t>s</w:t>
      </w:r>
      <w:r w:rsidR="00A92675" w:rsidRPr="008E0D65">
        <w:rPr>
          <w:rFonts w:cs="Garamond-Light"/>
          <w:b/>
          <w:sz w:val="20"/>
          <w:szCs w:val="20"/>
          <w:lang w:val="fr-CH"/>
        </w:rPr>
        <w:t xml:space="preserve"> de la paix</w:t>
      </w:r>
      <w:r w:rsidR="00701885" w:rsidRPr="005E19E1">
        <w:rPr>
          <w:rFonts w:cs="Garamond-Light"/>
          <w:sz w:val="20"/>
          <w:szCs w:val="20"/>
          <w:lang w:val="fr-CH"/>
        </w:rPr>
        <w:t>’</w:t>
      </w:r>
      <w:r w:rsidR="00A92675" w:rsidRPr="005E19E1">
        <w:rPr>
          <w:rFonts w:cs="Garamond-Light"/>
          <w:sz w:val="20"/>
          <w:szCs w:val="20"/>
          <w:lang w:val="fr-CH"/>
        </w:rPr>
        <w:t xml:space="preserve"> </w:t>
      </w:r>
      <w:r w:rsidR="008E0D65">
        <w:rPr>
          <w:rFonts w:cs="Garamond-Light"/>
          <w:sz w:val="20"/>
          <w:szCs w:val="20"/>
          <w:lang w:val="fr-CH"/>
        </w:rPr>
        <w:t xml:space="preserve">économiques et sociaux </w:t>
      </w:r>
      <w:r w:rsidR="00701885" w:rsidRPr="005E19E1">
        <w:rPr>
          <w:rFonts w:cs="Garamond-Light"/>
          <w:sz w:val="20"/>
          <w:szCs w:val="20"/>
          <w:lang w:val="fr-CH"/>
        </w:rPr>
        <w:t xml:space="preserve">; </w:t>
      </w:r>
    </w:p>
    <w:p w:rsidR="00701885" w:rsidRPr="005E19E1" w:rsidRDefault="00701885" w:rsidP="005E19E1">
      <w:pPr>
        <w:pStyle w:val="ListParagraph"/>
        <w:numPr>
          <w:ilvl w:val="0"/>
          <w:numId w:val="28"/>
        </w:numPr>
        <w:spacing w:after="0" w:line="240" w:lineRule="auto"/>
        <w:ind w:left="709"/>
        <w:jc w:val="both"/>
        <w:rPr>
          <w:sz w:val="20"/>
          <w:szCs w:val="20"/>
          <w:lang w:val="fr-CH"/>
        </w:rPr>
      </w:pPr>
      <w:r w:rsidRPr="005E19E1">
        <w:rPr>
          <w:rFonts w:cs="Garamond-Light"/>
          <w:sz w:val="20"/>
          <w:szCs w:val="20"/>
          <w:lang w:val="fr-CH"/>
        </w:rPr>
        <w:t>Final</w:t>
      </w:r>
      <w:r w:rsidR="00A92675" w:rsidRPr="005E19E1">
        <w:rPr>
          <w:rFonts w:cs="Garamond-Light"/>
          <w:sz w:val="20"/>
          <w:szCs w:val="20"/>
          <w:lang w:val="fr-CH"/>
        </w:rPr>
        <w:t>ement</w:t>
      </w:r>
      <w:r w:rsidRPr="005E19E1">
        <w:rPr>
          <w:rFonts w:cs="Garamond-Light"/>
          <w:sz w:val="20"/>
          <w:szCs w:val="20"/>
          <w:lang w:val="fr-CH"/>
        </w:rPr>
        <w:t>, reco</w:t>
      </w:r>
      <w:r w:rsidR="00A92675" w:rsidRPr="005E19E1">
        <w:rPr>
          <w:rFonts w:cs="Garamond-Light"/>
          <w:sz w:val="20"/>
          <w:szCs w:val="20"/>
          <w:lang w:val="fr-CH"/>
        </w:rPr>
        <w:t>n</w:t>
      </w:r>
      <w:r w:rsidRPr="005E19E1">
        <w:rPr>
          <w:rFonts w:cs="Garamond-Light"/>
          <w:sz w:val="20"/>
          <w:szCs w:val="20"/>
          <w:lang w:val="fr-CH"/>
        </w:rPr>
        <w:t>n</w:t>
      </w:r>
      <w:r w:rsidR="00A92675" w:rsidRPr="005E19E1">
        <w:rPr>
          <w:rFonts w:cs="Garamond-Light"/>
          <w:sz w:val="20"/>
          <w:szCs w:val="20"/>
          <w:lang w:val="fr-CH"/>
        </w:rPr>
        <w:t>aître</w:t>
      </w:r>
      <w:r w:rsidRPr="005E19E1">
        <w:rPr>
          <w:rFonts w:cs="Garamond-Light"/>
          <w:sz w:val="20"/>
          <w:szCs w:val="20"/>
          <w:lang w:val="fr-CH"/>
        </w:rPr>
        <w:t xml:space="preserve"> </w:t>
      </w:r>
      <w:r w:rsidR="00A92675" w:rsidRPr="005E19E1">
        <w:rPr>
          <w:rFonts w:cs="Garamond-Light"/>
          <w:sz w:val="20"/>
          <w:szCs w:val="20"/>
          <w:lang w:val="fr-CH"/>
        </w:rPr>
        <w:t>l’</w:t>
      </w:r>
      <w:r w:rsidRPr="005E19E1">
        <w:rPr>
          <w:rFonts w:cs="Garamond-Light"/>
          <w:sz w:val="20"/>
          <w:szCs w:val="20"/>
          <w:lang w:val="fr-CH"/>
        </w:rPr>
        <w:t xml:space="preserve">importance </w:t>
      </w:r>
      <w:r w:rsidR="00A92675" w:rsidRPr="005E19E1">
        <w:rPr>
          <w:rFonts w:cs="Garamond-Light"/>
          <w:sz w:val="20"/>
          <w:szCs w:val="20"/>
          <w:lang w:val="fr-CH"/>
        </w:rPr>
        <w:t>des</w:t>
      </w:r>
      <w:r w:rsidRPr="005E19E1">
        <w:rPr>
          <w:rFonts w:cs="Garamond-Light"/>
          <w:sz w:val="20"/>
          <w:szCs w:val="20"/>
          <w:lang w:val="fr-CH"/>
        </w:rPr>
        <w:t xml:space="preserve"> </w:t>
      </w:r>
      <w:r w:rsidRPr="008E0D65">
        <w:rPr>
          <w:rFonts w:cs="Garamond-Light"/>
          <w:b/>
          <w:sz w:val="20"/>
          <w:szCs w:val="20"/>
          <w:lang w:val="fr-CH"/>
        </w:rPr>
        <w:t>m</w:t>
      </w:r>
      <w:r w:rsidR="00A92675" w:rsidRPr="008E0D65">
        <w:rPr>
          <w:rFonts w:cs="Garamond-Light"/>
          <w:b/>
          <w:sz w:val="20"/>
          <w:szCs w:val="20"/>
          <w:lang w:val="fr-CH"/>
        </w:rPr>
        <w:t>é</w:t>
      </w:r>
      <w:r w:rsidRPr="008E0D65">
        <w:rPr>
          <w:rFonts w:cs="Garamond-Light"/>
          <w:b/>
          <w:sz w:val="20"/>
          <w:szCs w:val="20"/>
          <w:lang w:val="fr-CH"/>
        </w:rPr>
        <w:t>canism</w:t>
      </w:r>
      <w:r w:rsidR="00A92675" w:rsidRPr="008E0D65">
        <w:rPr>
          <w:rFonts w:cs="Garamond-Light"/>
          <w:b/>
          <w:sz w:val="20"/>
          <w:szCs w:val="20"/>
          <w:lang w:val="fr-CH"/>
        </w:rPr>
        <w:t>e</w:t>
      </w:r>
      <w:r w:rsidRPr="008E0D65">
        <w:rPr>
          <w:rFonts w:cs="Garamond-Light"/>
          <w:b/>
          <w:sz w:val="20"/>
          <w:szCs w:val="20"/>
          <w:lang w:val="fr-CH"/>
        </w:rPr>
        <w:t>s</w:t>
      </w:r>
      <w:r w:rsidR="00A92675" w:rsidRPr="008E0D65">
        <w:rPr>
          <w:rFonts w:cs="Garamond-Light"/>
          <w:b/>
          <w:sz w:val="20"/>
          <w:szCs w:val="20"/>
          <w:lang w:val="fr-CH"/>
        </w:rPr>
        <w:t xml:space="preserve"> favorisant le dialogue, le compromis et l’</w:t>
      </w:r>
      <w:r w:rsidRPr="008E0D65">
        <w:rPr>
          <w:rFonts w:cs="Garamond-Light"/>
          <w:b/>
          <w:sz w:val="20"/>
          <w:szCs w:val="20"/>
          <w:lang w:val="fr-CH"/>
        </w:rPr>
        <w:t>innovati</w:t>
      </w:r>
      <w:r w:rsidR="00A92675" w:rsidRPr="008E0D65">
        <w:rPr>
          <w:rFonts w:cs="Garamond-Light"/>
          <w:b/>
          <w:sz w:val="20"/>
          <w:szCs w:val="20"/>
          <w:lang w:val="fr-CH"/>
        </w:rPr>
        <w:t xml:space="preserve">on </w:t>
      </w:r>
      <w:r w:rsidR="00A92675" w:rsidRPr="005E19E1">
        <w:rPr>
          <w:rFonts w:cs="Garamond-Light"/>
          <w:sz w:val="20"/>
          <w:szCs w:val="20"/>
          <w:lang w:val="fr-CH"/>
        </w:rPr>
        <w:t>(y compris en s’inspirant de l’expérience d’autres régions)</w:t>
      </w:r>
      <w:r w:rsidR="00C52D15" w:rsidRPr="005E19E1">
        <w:rPr>
          <w:rFonts w:cs="Garamond-Light"/>
          <w:sz w:val="20"/>
          <w:szCs w:val="20"/>
          <w:lang w:val="fr-CH"/>
        </w:rPr>
        <w:t>, l’objectif étant de construire</w:t>
      </w:r>
      <w:r w:rsidRPr="005E19E1">
        <w:rPr>
          <w:rFonts w:cs="Garamond-Light"/>
          <w:sz w:val="20"/>
          <w:szCs w:val="20"/>
          <w:lang w:val="fr-CH"/>
        </w:rPr>
        <w:t xml:space="preserve"> </w:t>
      </w:r>
      <w:r w:rsidR="00C52D15" w:rsidRPr="005E19E1">
        <w:rPr>
          <w:rFonts w:cs="Garamond-Light"/>
          <w:sz w:val="20"/>
          <w:szCs w:val="20"/>
          <w:lang w:val="fr-CH"/>
        </w:rPr>
        <w:t>un avenir</w:t>
      </w:r>
      <w:r w:rsidRPr="005E19E1">
        <w:rPr>
          <w:rFonts w:cs="Garamond-Light"/>
          <w:sz w:val="20"/>
          <w:szCs w:val="20"/>
          <w:lang w:val="fr-CH"/>
        </w:rPr>
        <w:t xml:space="preserve"> comm</w:t>
      </w:r>
      <w:r w:rsidR="00C52D15" w:rsidRPr="005E19E1">
        <w:rPr>
          <w:rFonts w:cs="Garamond-Light"/>
          <w:sz w:val="20"/>
          <w:szCs w:val="20"/>
          <w:lang w:val="fr-CH"/>
        </w:rPr>
        <w:t>u</w:t>
      </w:r>
      <w:r w:rsidRPr="005E19E1">
        <w:rPr>
          <w:rFonts w:cs="Garamond-Light"/>
          <w:sz w:val="20"/>
          <w:szCs w:val="20"/>
          <w:lang w:val="fr-CH"/>
        </w:rPr>
        <w:t xml:space="preserve">n </w:t>
      </w:r>
      <w:r w:rsidR="00C52D15" w:rsidRPr="005E19E1">
        <w:rPr>
          <w:rFonts w:cs="Garamond-Light"/>
          <w:sz w:val="20"/>
          <w:szCs w:val="20"/>
          <w:lang w:val="fr-CH"/>
        </w:rPr>
        <w:t>en trouvant des</w:t>
      </w:r>
      <w:r w:rsidRPr="005E19E1">
        <w:rPr>
          <w:rFonts w:cs="Garamond-Light"/>
          <w:sz w:val="20"/>
          <w:szCs w:val="20"/>
          <w:lang w:val="fr-CH"/>
        </w:rPr>
        <w:t xml:space="preserve"> form</w:t>
      </w:r>
      <w:r w:rsidR="00C52D15" w:rsidRPr="005E19E1">
        <w:rPr>
          <w:rFonts w:cs="Garamond-Light"/>
          <w:sz w:val="20"/>
          <w:szCs w:val="20"/>
          <w:lang w:val="fr-CH"/>
        </w:rPr>
        <w:t>e</w:t>
      </w:r>
      <w:r w:rsidRPr="005E19E1">
        <w:rPr>
          <w:rFonts w:cs="Garamond-Light"/>
          <w:sz w:val="20"/>
          <w:szCs w:val="20"/>
          <w:lang w:val="fr-CH"/>
        </w:rPr>
        <w:t xml:space="preserve">s </w:t>
      </w:r>
      <w:r w:rsidR="00C52D15" w:rsidRPr="005E19E1">
        <w:rPr>
          <w:rFonts w:cs="Garamond-Light"/>
          <w:sz w:val="20"/>
          <w:szCs w:val="20"/>
          <w:lang w:val="fr-CH"/>
        </w:rPr>
        <w:t>de gouvernance résultant d’un</w:t>
      </w:r>
      <w:r w:rsidRPr="005E19E1">
        <w:rPr>
          <w:rFonts w:cs="Garamond-Light"/>
          <w:sz w:val="20"/>
          <w:szCs w:val="20"/>
          <w:lang w:val="fr-CH"/>
        </w:rPr>
        <w:t xml:space="preserve"> consensus.</w:t>
      </w:r>
      <w:r w:rsidRPr="005E19E1">
        <w:rPr>
          <w:sz w:val="20"/>
          <w:szCs w:val="20"/>
          <w:lang w:val="fr-CH"/>
        </w:rPr>
        <w:t xml:space="preserve">  </w:t>
      </w:r>
    </w:p>
    <w:p w:rsidR="00701885" w:rsidRPr="00C52D15" w:rsidRDefault="00701885" w:rsidP="00D97333">
      <w:pPr>
        <w:pBdr>
          <w:top w:val="nil"/>
          <w:left w:val="nil"/>
          <w:bottom w:val="nil"/>
          <w:right w:val="nil"/>
          <w:between w:val="nil"/>
          <w:bar w:val="nil"/>
        </w:pBdr>
        <w:spacing w:after="0" w:line="240" w:lineRule="auto"/>
        <w:jc w:val="both"/>
        <w:rPr>
          <w:rFonts w:eastAsia="Arial" w:cs="Arial"/>
          <w:color w:val="000000" w:themeColor="text1"/>
          <w:sz w:val="20"/>
          <w:szCs w:val="20"/>
          <w:lang w:val="fr-CH"/>
        </w:rPr>
      </w:pPr>
    </w:p>
    <w:p w:rsidR="00701885" w:rsidRPr="00D97333" w:rsidRDefault="00C52D15" w:rsidP="00D97333">
      <w:pPr>
        <w:pBdr>
          <w:top w:val="nil"/>
          <w:left w:val="nil"/>
          <w:bottom w:val="nil"/>
          <w:right w:val="nil"/>
          <w:between w:val="nil"/>
          <w:bar w:val="nil"/>
        </w:pBdr>
        <w:spacing w:after="0" w:line="240" w:lineRule="auto"/>
        <w:jc w:val="both"/>
        <w:rPr>
          <w:rFonts w:cs="Arial"/>
          <w:color w:val="000000" w:themeColor="text1"/>
          <w:sz w:val="20"/>
          <w:szCs w:val="20"/>
          <w:lang w:val="fr-CH"/>
        </w:rPr>
      </w:pPr>
      <w:r>
        <w:rPr>
          <w:rFonts w:cs="Arial"/>
          <w:color w:val="000000" w:themeColor="text1"/>
          <w:sz w:val="20"/>
          <w:szCs w:val="20"/>
          <w:lang w:val="fr-CH"/>
        </w:rPr>
        <w:t xml:space="preserve">2) </w:t>
      </w:r>
      <w:r w:rsidR="00701885" w:rsidRPr="00D97333">
        <w:rPr>
          <w:rFonts w:cs="Arial"/>
          <w:color w:val="000000" w:themeColor="text1"/>
          <w:sz w:val="20"/>
          <w:szCs w:val="20"/>
          <w:lang w:val="fr-CH"/>
        </w:rPr>
        <w:t xml:space="preserve">Le </w:t>
      </w:r>
      <w:r w:rsidR="00701885" w:rsidRPr="00D97333">
        <w:rPr>
          <w:rFonts w:cs="Arial"/>
          <w:b/>
          <w:bCs/>
          <w:color w:val="000000" w:themeColor="text1"/>
          <w:sz w:val="20"/>
          <w:szCs w:val="20"/>
          <w:lang w:val="fr-CH"/>
        </w:rPr>
        <w:t>22 mars 2012</w:t>
      </w:r>
      <w:r w:rsidR="00701885" w:rsidRPr="00D97333">
        <w:rPr>
          <w:rFonts w:cs="Arial"/>
          <w:bCs/>
          <w:color w:val="000000" w:themeColor="text1"/>
          <w:sz w:val="20"/>
          <w:szCs w:val="20"/>
          <w:lang w:val="fr-CH"/>
        </w:rPr>
        <w:t xml:space="preserve"> à Genève</w:t>
      </w:r>
      <w:r w:rsidR="00701885" w:rsidRPr="00D97333">
        <w:rPr>
          <w:rFonts w:cs="Arial"/>
          <w:color w:val="000000" w:themeColor="text1"/>
          <w:sz w:val="20"/>
          <w:szCs w:val="20"/>
          <w:lang w:val="fr-CH"/>
        </w:rPr>
        <w:t>, sur « </w:t>
      </w:r>
      <w:r w:rsidR="00701885" w:rsidRPr="00C52D15">
        <w:rPr>
          <w:rFonts w:cs="Arial"/>
          <w:b/>
          <w:color w:val="000000" w:themeColor="text1"/>
          <w:sz w:val="20"/>
          <w:szCs w:val="20"/>
          <w:lang w:val="fr-CH"/>
        </w:rPr>
        <w:t>La gouvernance dans les statuts d’autonomie : institutions et mécanismes</w:t>
      </w:r>
      <w:r w:rsidR="00701885" w:rsidRPr="00D97333">
        <w:rPr>
          <w:rFonts w:cs="Arial"/>
          <w:color w:val="000000" w:themeColor="text1"/>
          <w:sz w:val="20"/>
          <w:szCs w:val="20"/>
          <w:lang w:val="fr-CH"/>
        </w:rPr>
        <w:t xml:space="preserve"> », </w:t>
      </w:r>
      <w:r>
        <w:rPr>
          <w:rFonts w:cs="Arial"/>
          <w:color w:val="000000" w:themeColor="text1"/>
          <w:sz w:val="20"/>
          <w:szCs w:val="20"/>
          <w:lang w:val="fr-CH"/>
        </w:rPr>
        <w:t>séminaire qui a permis de comparer les cas d’Aceh en Indonésie, de la Catalogne, du Groenland, de la Nouvelle-Calédonie, et de Porto Rico. Ses principales conclusions ont été les suivantes :</w:t>
      </w:r>
    </w:p>
    <w:p w:rsidR="001A13AD" w:rsidRPr="007170F1" w:rsidRDefault="00701885" w:rsidP="005E19E1">
      <w:pPr>
        <w:pStyle w:val="ListParagraph"/>
        <w:numPr>
          <w:ilvl w:val="0"/>
          <w:numId w:val="26"/>
        </w:numPr>
        <w:spacing w:after="0" w:line="240" w:lineRule="auto"/>
        <w:jc w:val="both"/>
        <w:rPr>
          <w:sz w:val="20"/>
          <w:szCs w:val="20"/>
          <w:lang w:val="fr-CH"/>
        </w:rPr>
      </w:pPr>
      <w:r w:rsidRPr="007170F1">
        <w:rPr>
          <w:rFonts w:cs="TimesNewRomanPSMT"/>
          <w:sz w:val="20"/>
          <w:szCs w:val="20"/>
          <w:lang w:val="fr-CH"/>
        </w:rPr>
        <w:t xml:space="preserve">La mise en place d’un statut d’autonomie peut résulter de </w:t>
      </w:r>
      <w:r w:rsidRPr="008E0D65">
        <w:rPr>
          <w:rFonts w:cs="TimesNewRomanPSMT"/>
          <w:b/>
          <w:sz w:val="20"/>
          <w:szCs w:val="20"/>
          <w:lang w:val="fr-CH"/>
        </w:rPr>
        <w:t>l’histoire et de traités anciens</w:t>
      </w:r>
      <w:r w:rsidR="001A13AD" w:rsidRPr="007170F1">
        <w:rPr>
          <w:rFonts w:cs="TimesNewRomanPSMT"/>
          <w:sz w:val="20"/>
          <w:szCs w:val="20"/>
          <w:lang w:val="fr-CH"/>
        </w:rPr>
        <w:t xml:space="preserve"> (</w:t>
      </w:r>
      <w:r w:rsidRPr="007170F1">
        <w:rPr>
          <w:rFonts w:cs="TimesNewRomanPSMT"/>
          <w:sz w:val="20"/>
          <w:szCs w:val="20"/>
          <w:lang w:val="fr-CH"/>
        </w:rPr>
        <w:t>Groenland</w:t>
      </w:r>
      <w:r w:rsidR="001A13AD" w:rsidRPr="007170F1">
        <w:rPr>
          <w:rFonts w:cs="TimesNewRomanPSMT"/>
          <w:sz w:val="20"/>
          <w:szCs w:val="20"/>
          <w:lang w:val="fr-CH"/>
        </w:rPr>
        <w:t>) ; elle</w:t>
      </w:r>
      <w:r w:rsidRPr="007170F1">
        <w:rPr>
          <w:rFonts w:cs="TimesNewRomanPSMT"/>
          <w:sz w:val="20"/>
          <w:szCs w:val="20"/>
          <w:lang w:val="fr-CH"/>
        </w:rPr>
        <w:t xml:space="preserve"> peut constituer une solution à un </w:t>
      </w:r>
      <w:r w:rsidRPr="008E0D65">
        <w:rPr>
          <w:rFonts w:cs="TimesNewRomanPSMT"/>
          <w:b/>
          <w:sz w:val="20"/>
          <w:szCs w:val="20"/>
          <w:lang w:val="fr-CH"/>
        </w:rPr>
        <w:t>conflit interne à un Etat</w:t>
      </w:r>
      <w:r w:rsidRPr="007170F1">
        <w:rPr>
          <w:rFonts w:cs="TimesNewRomanPSMT"/>
          <w:sz w:val="20"/>
          <w:szCs w:val="20"/>
          <w:lang w:val="fr-CH"/>
        </w:rPr>
        <w:t>, c’est à dire entre certaines populations de cet Etat et les autorités publiques</w:t>
      </w:r>
      <w:r w:rsidR="001A13AD" w:rsidRPr="007170F1">
        <w:rPr>
          <w:rFonts w:cs="TimesNewRomanPSMT"/>
          <w:sz w:val="20"/>
          <w:szCs w:val="20"/>
          <w:lang w:val="fr-CH"/>
        </w:rPr>
        <w:t xml:space="preserve"> (</w:t>
      </w:r>
      <w:r w:rsidRPr="007170F1">
        <w:rPr>
          <w:rFonts w:cs="TimesNewRomanPSMT"/>
          <w:sz w:val="20"/>
          <w:szCs w:val="20"/>
          <w:lang w:val="fr-CH"/>
        </w:rPr>
        <w:t>Nouvelle</w:t>
      </w:r>
      <w:r w:rsidR="001A13AD" w:rsidRPr="007170F1">
        <w:rPr>
          <w:rFonts w:cs="TimesNewRomanPSMT"/>
          <w:sz w:val="20"/>
          <w:szCs w:val="20"/>
          <w:lang w:val="fr-CH"/>
        </w:rPr>
        <w:t>-</w:t>
      </w:r>
      <w:r w:rsidRPr="007170F1">
        <w:rPr>
          <w:rFonts w:cs="TimesNewRomanPSMT"/>
          <w:sz w:val="20"/>
          <w:szCs w:val="20"/>
          <w:lang w:val="fr-CH"/>
        </w:rPr>
        <w:t>Calédonie</w:t>
      </w:r>
      <w:r w:rsidR="001A13AD" w:rsidRPr="007170F1">
        <w:rPr>
          <w:rFonts w:cs="TimesNewRomanPSMT"/>
          <w:sz w:val="20"/>
          <w:szCs w:val="20"/>
          <w:lang w:val="fr-CH"/>
        </w:rPr>
        <w:t>), ou</w:t>
      </w:r>
      <w:r w:rsidRPr="007170F1">
        <w:rPr>
          <w:rFonts w:cs="TimesNewRomanPSMT"/>
          <w:sz w:val="20"/>
          <w:szCs w:val="20"/>
          <w:lang w:val="fr-CH"/>
        </w:rPr>
        <w:t xml:space="preserve"> représenter une solution à un </w:t>
      </w:r>
      <w:r w:rsidRPr="008E0D65">
        <w:rPr>
          <w:rFonts w:cs="TimesNewRomanPSMT"/>
          <w:b/>
          <w:sz w:val="20"/>
          <w:szCs w:val="20"/>
          <w:lang w:val="fr-CH"/>
        </w:rPr>
        <w:t>conflit international</w:t>
      </w:r>
      <w:r w:rsidRPr="007170F1">
        <w:rPr>
          <w:rFonts w:cs="TimesNewRomanPSMT"/>
          <w:sz w:val="20"/>
          <w:szCs w:val="20"/>
          <w:lang w:val="fr-CH"/>
        </w:rPr>
        <w:t xml:space="preserve"> </w:t>
      </w:r>
      <w:r w:rsidR="001A13AD" w:rsidRPr="007170F1">
        <w:rPr>
          <w:rFonts w:cs="TimesNewRomanPSMT"/>
          <w:sz w:val="20"/>
          <w:szCs w:val="20"/>
          <w:lang w:val="fr-CH"/>
        </w:rPr>
        <w:t>qui</w:t>
      </w:r>
      <w:r w:rsidRPr="007170F1">
        <w:rPr>
          <w:rFonts w:cs="TimesNewRomanPSMT"/>
          <w:sz w:val="20"/>
          <w:szCs w:val="20"/>
          <w:lang w:val="fr-CH"/>
        </w:rPr>
        <w:t xml:space="preserve"> ne concerne pas seulement les populations locales, mais aussi d</w:t>
      </w:r>
      <w:r w:rsidR="00EE602F">
        <w:rPr>
          <w:rFonts w:cs="TimesNewRomanPSMT"/>
          <w:sz w:val="20"/>
          <w:szCs w:val="20"/>
          <w:lang w:val="fr-CH"/>
        </w:rPr>
        <w:t>’autre</w:t>
      </w:r>
      <w:r w:rsidRPr="007170F1">
        <w:rPr>
          <w:rFonts w:cs="TimesNewRomanPSMT"/>
          <w:sz w:val="20"/>
          <w:szCs w:val="20"/>
          <w:lang w:val="fr-CH"/>
        </w:rPr>
        <w:t>s Etats</w:t>
      </w:r>
      <w:r w:rsidR="001A13AD" w:rsidRPr="007170F1">
        <w:rPr>
          <w:rFonts w:cs="TimesNewRomanPSMT"/>
          <w:sz w:val="20"/>
          <w:szCs w:val="20"/>
          <w:lang w:val="fr-CH"/>
        </w:rPr>
        <w:t xml:space="preserve"> (</w:t>
      </w:r>
      <w:r w:rsidRPr="007170F1">
        <w:rPr>
          <w:rFonts w:cs="TimesNewRomanPSMT"/>
          <w:sz w:val="20"/>
          <w:szCs w:val="20"/>
          <w:lang w:val="fr-CH"/>
        </w:rPr>
        <w:t>Sahara</w:t>
      </w:r>
      <w:r w:rsidR="001A13AD" w:rsidRPr="007170F1">
        <w:rPr>
          <w:rFonts w:cs="TimesNewRomanPSMT"/>
          <w:sz w:val="20"/>
          <w:szCs w:val="20"/>
          <w:lang w:val="fr-CH"/>
        </w:rPr>
        <w:t>), appelant un rôle pour l’ONU</w:t>
      </w:r>
      <w:r w:rsidRPr="007170F1">
        <w:rPr>
          <w:rFonts w:cs="TimesNewRomanPSMT"/>
          <w:sz w:val="20"/>
          <w:szCs w:val="20"/>
          <w:lang w:val="fr-CH"/>
        </w:rPr>
        <w:t>. Le problème peut concerner une région périphérique</w:t>
      </w:r>
      <w:r w:rsidR="001A13AD" w:rsidRPr="007170F1">
        <w:rPr>
          <w:rFonts w:cs="TimesNewRomanPSMT"/>
          <w:sz w:val="20"/>
          <w:szCs w:val="20"/>
          <w:lang w:val="fr-CH"/>
        </w:rPr>
        <w:t xml:space="preserve"> </w:t>
      </w:r>
      <w:r w:rsidR="001A13AD" w:rsidRPr="007170F1">
        <w:rPr>
          <w:rFonts w:cs="TimesNewRomanPSMT"/>
          <w:sz w:val="20"/>
          <w:szCs w:val="20"/>
          <w:lang w:val="fr-CH"/>
        </w:rPr>
        <w:lastRenderedPageBreak/>
        <w:t>(</w:t>
      </w:r>
      <w:r w:rsidRPr="007170F1">
        <w:rPr>
          <w:rFonts w:cs="TimesNewRomanPSMT"/>
          <w:sz w:val="20"/>
          <w:szCs w:val="20"/>
          <w:lang w:val="fr-CH"/>
        </w:rPr>
        <w:t>Nouvelle</w:t>
      </w:r>
      <w:r w:rsidR="001A13AD" w:rsidRPr="007170F1">
        <w:rPr>
          <w:rFonts w:cs="TimesNewRomanPSMT"/>
          <w:sz w:val="20"/>
          <w:szCs w:val="20"/>
          <w:lang w:val="fr-CH"/>
        </w:rPr>
        <w:t>-</w:t>
      </w:r>
      <w:r w:rsidRPr="007170F1">
        <w:rPr>
          <w:rFonts w:cs="TimesNewRomanPSMT"/>
          <w:sz w:val="20"/>
          <w:szCs w:val="20"/>
          <w:lang w:val="fr-CH"/>
        </w:rPr>
        <w:t>Calédonie, Porto Rico, Groenland</w:t>
      </w:r>
      <w:r w:rsidR="001A13AD" w:rsidRPr="007170F1">
        <w:rPr>
          <w:rFonts w:cs="TimesNewRomanPSMT"/>
          <w:sz w:val="20"/>
          <w:szCs w:val="20"/>
          <w:lang w:val="fr-CH"/>
        </w:rPr>
        <w:t xml:space="preserve">) ou </w:t>
      </w:r>
      <w:r w:rsidRPr="007170F1">
        <w:rPr>
          <w:rFonts w:cs="TimesNewRomanPSMT"/>
          <w:sz w:val="20"/>
          <w:szCs w:val="20"/>
          <w:lang w:val="fr-CH"/>
        </w:rPr>
        <w:t>une région au cœur de l’Etat métropolitain</w:t>
      </w:r>
      <w:r w:rsidR="001A13AD" w:rsidRPr="007170F1">
        <w:rPr>
          <w:rFonts w:cs="TimesNewRomanPSMT"/>
          <w:sz w:val="20"/>
          <w:szCs w:val="20"/>
          <w:lang w:val="fr-CH"/>
        </w:rPr>
        <w:t xml:space="preserve"> (</w:t>
      </w:r>
      <w:r w:rsidRPr="007170F1">
        <w:rPr>
          <w:rFonts w:cs="TimesNewRomanPSMT"/>
          <w:sz w:val="20"/>
          <w:szCs w:val="20"/>
          <w:lang w:val="fr-CH"/>
        </w:rPr>
        <w:t>Catalogne</w:t>
      </w:r>
      <w:r w:rsidR="001A13AD" w:rsidRPr="007170F1">
        <w:rPr>
          <w:rFonts w:cs="TimesNewRomanPSMT"/>
          <w:sz w:val="20"/>
          <w:szCs w:val="20"/>
          <w:lang w:val="fr-CH"/>
        </w:rPr>
        <w:t>)</w:t>
      </w:r>
      <w:r w:rsidRPr="007170F1">
        <w:rPr>
          <w:rFonts w:cs="TimesNewRomanPSMT"/>
          <w:sz w:val="20"/>
          <w:szCs w:val="20"/>
          <w:lang w:val="fr-CH"/>
        </w:rPr>
        <w:t xml:space="preserve">. </w:t>
      </w:r>
      <w:r w:rsidR="001A13AD" w:rsidRPr="007170F1">
        <w:rPr>
          <w:rFonts w:cs="TimesNewRomanPSMT"/>
          <w:sz w:val="20"/>
          <w:szCs w:val="20"/>
          <w:lang w:val="fr-CH"/>
        </w:rPr>
        <w:t>L</w:t>
      </w:r>
      <w:r w:rsidRPr="007170F1">
        <w:rPr>
          <w:rFonts w:cs="TimesNewRomanPSMT"/>
          <w:sz w:val="20"/>
          <w:szCs w:val="20"/>
          <w:lang w:val="fr-CH"/>
        </w:rPr>
        <w:t>e statut d’autonomie peut être spécifique à une région</w:t>
      </w:r>
      <w:r w:rsidR="001A13AD" w:rsidRPr="007170F1">
        <w:rPr>
          <w:rFonts w:cs="TimesNewRomanPSMT"/>
          <w:sz w:val="20"/>
          <w:szCs w:val="20"/>
          <w:lang w:val="fr-CH"/>
        </w:rPr>
        <w:t xml:space="preserve"> (</w:t>
      </w:r>
      <w:r w:rsidRPr="007170F1">
        <w:rPr>
          <w:rFonts w:cs="TimesNewRomanPSMT"/>
          <w:sz w:val="20"/>
          <w:szCs w:val="20"/>
          <w:lang w:val="fr-CH"/>
        </w:rPr>
        <w:t>Nouvelle</w:t>
      </w:r>
      <w:r w:rsidR="001A13AD" w:rsidRPr="007170F1">
        <w:rPr>
          <w:rFonts w:cs="TimesNewRomanPSMT"/>
          <w:sz w:val="20"/>
          <w:szCs w:val="20"/>
          <w:lang w:val="fr-CH"/>
        </w:rPr>
        <w:t>-</w:t>
      </w:r>
      <w:r w:rsidRPr="007170F1">
        <w:rPr>
          <w:rFonts w:cs="TimesNewRomanPSMT"/>
          <w:sz w:val="20"/>
          <w:szCs w:val="20"/>
          <w:lang w:val="fr-CH"/>
        </w:rPr>
        <w:t>Calédonie</w:t>
      </w:r>
      <w:r w:rsidR="001A13AD" w:rsidRPr="007170F1">
        <w:rPr>
          <w:rFonts w:cs="TimesNewRomanPSMT"/>
          <w:sz w:val="20"/>
          <w:szCs w:val="20"/>
          <w:lang w:val="fr-CH"/>
        </w:rPr>
        <w:t xml:space="preserve">, </w:t>
      </w:r>
      <w:r w:rsidRPr="007170F1">
        <w:rPr>
          <w:rFonts w:cs="TimesNewRomanPSMT"/>
          <w:sz w:val="20"/>
          <w:szCs w:val="20"/>
          <w:lang w:val="fr-CH"/>
        </w:rPr>
        <w:t>Aceh</w:t>
      </w:r>
      <w:r w:rsidR="001A13AD" w:rsidRPr="007170F1">
        <w:rPr>
          <w:rFonts w:cs="TimesNewRomanPSMT"/>
          <w:sz w:val="20"/>
          <w:szCs w:val="20"/>
          <w:lang w:val="fr-CH"/>
        </w:rPr>
        <w:t>)</w:t>
      </w:r>
      <w:r w:rsidRPr="007170F1">
        <w:rPr>
          <w:rFonts w:cs="TimesNewRomanPSMT"/>
          <w:sz w:val="20"/>
          <w:szCs w:val="20"/>
          <w:lang w:val="fr-CH"/>
        </w:rPr>
        <w:t>, ou commun à l’ensemble des territoires de l’Etat</w:t>
      </w:r>
      <w:r w:rsidR="001A13AD" w:rsidRPr="007170F1">
        <w:rPr>
          <w:rFonts w:cs="TimesNewRomanPSMT"/>
          <w:sz w:val="20"/>
          <w:szCs w:val="20"/>
          <w:lang w:val="fr-CH"/>
        </w:rPr>
        <w:t xml:space="preserve"> (Espagne)</w:t>
      </w:r>
      <w:r w:rsidR="007170F1" w:rsidRPr="007170F1">
        <w:rPr>
          <w:rFonts w:cs="TimesNewRomanPSMT"/>
          <w:sz w:val="20"/>
          <w:szCs w:val="20"/>
          <w:lang w:val="fr-CH"/>
        </w:rPr>
        <w:t>.</w:t>
      </w:r>
      <w:r w:rsidR="007170F1">
        <w:rPr>
          <w:rFonts w:cs="TimesNewRomanPSMT"/>
          <w:sz w:val="20"/>
          <w:szCs w:val="20"/>
          <w:lang w:val="fr-CH"/>
        </w:rPr>
        <w:t xml:space="preserve"> </w:t>
      </w:r>
      <w:r w:rsidRPr="007170F1">
        <w:rPr>
          <w:rFonts w:cs="TimesNewRomanPSMT"/>
          <w:sz w:val="20"/>
          <w:szCs w:val="20"/>
          <w:lang w:val="fr-CH"/>
        </w:rPr>
        <w:t>Le statut d’autonomie peut constituer un aboutissement ou une étape, s’inscrire dans une logique de transition ou dans celle de la permanence</w:t>
      </w:r>
      <w:r w:rsidR="001A13AD" w:rsidRPr="007170F1">
        <w:rPr>
          <w:rFonts w:cs="TimesNewRomanPSMT"/>
          <w:sz w:val="20"/>
          <w:szCs w:val="20"/>
          <w:lang w:val="fr-CH"/>
        </w:rPr>
        <w:t xml:space="preserve"> (Sahara)</w:t>
      </w:r>
      <w:r w:rsidR="007170F1">
        <w:rPr>
          <w:rFonts w:cs="TimesNewRomanPSMT"/>
          <w:sz w:val="20"/>
          <w:szCs w:val="20"/>
          <w:lang w:val="fr-CH"/>
        </w:rPr>
        <w:t>.</w:t>
      </w:r>
    </w:p>
    <w:p w:rsidR="00646838" w:rsidRPr="00646838" w:rsidRDefault="001A13AD" w:rsidP="005E19E1">
      <w:pPr>
        <w:pStyle w:val="ListParagraph"/>
        <w:numPr>
          <w:ilvl w:val="0"/>
          <w:numId w:val="26"/>
        </w:numPr>
        <w:spacing w:after="0" w:line="240" w:lineRule="auto"/>
        <w:jc w:val="both"/>
        <w:rPr>
          <w:sz w:val="20"/>
          <w:szCs w:val="20"/>
          <w:lang w:val="fr-CH"/>
        </w:rPr>
      </w:pPr>
      <w:r>
        <w:rPr>
          <w:rFonts w:cs="TimesNewRomanPSMT"/>
          <w:sz w:val="20"/>
          <w:szCs w:val="20"/>
          <w:lang w:val="fr-CH"/>
        </w:rPr>
        <w:t>C</w:t>
      </w:r>
      <w:r w:rsidR="00701885" w:rsidRPr="009437A2">
        <w:rPr>
          <w:rFonts w:cs="TimesNewRomanPSMT"/>
          <w:sz w:val="20"/>
          <w:szCs w:val="20"/>
          <w:lang w:val="fr-CH"/>
        </w:rPr>
        <w:t>ertain</w:t>
      </w:r>
      <w:r>
        <w:rPr>
          <w:rFonts w:cs="TimesNewRomanPSMT"/>
          <w:sz w:val="20"/>
          <w:szCs w:val="20"/>
          <w:lang w:val="fr-CH"/>
        </w:rPr>
        <w:t xml:space="preserve">s </w:t>
      </w:r>
      <w:r w:rsidR="00701885" w:rsidRPr="009437A2">
        <w:rPr>
          <w:rFonts w:cs="TimesNewRomanPSMT"/>
          <w:sz w:val="20"/>
          <w:szCs w:val="20"/>
          <w:lang w:val="fr-CH"/>
        </w:rPr>
        <w:t xml:space="preserve">principes </w:t>
      </w:r>
      <w:r>
        <w:rPr>
          <w:rFonts w:cs="TimesNewRomanPSMT"/>
          <w:sz w:val="20"/>
          <w:szCs w:val="20"/>
          <w:lang w:val="fr-CH"/>
        </w:rPr>
        <w:t xml:space="preserve">communs </w:t>
      </w:r>
      <w:r w:rsidR="00701885" w:rsidRPr="009437A2">
        <w:rPr>
          <w:rFonts w:cs="TimesNewRomanPSMT"/>
          <w:sz w:val="20"/>
          <w:szCs w:val="20"/>
          <w:lang w:val="fr-CH"/>
        </w:rPr>
        <w:t>doivent être respectés</w:t>
      </w:r>
      <w:r>
        <w:rPr>
          <w:rFonts w:cs="TimesNewRomanPSMT"/>
          <w:sz w:val="20"/>
          <w:szCs w:val="20"/>
          <w:lang w:val="fr-CH"/>
        </w:rPr>
        <w:t xml:space="preserve"> mais peuvent </w:t>
      </w:r>
      <w:r w:rsidR="00701885" w:rsidRPr="009437A2">
        <w:rPr>
          <w:rFonts w:cs="TimesNewRomanPSMT"/>
          <w:sz w:val="20"/>
          <w:szCs w:val="20"/>
          <w:lang w:val="fr-CH"/>
        </w:rPr>
        <w:t xml:space="preserve">subir </w:t>
      </w:r>
      <w:r>
        <w:rPr>
          <w:rFonts w:cs="TimesNewRomanPSMT"/>
          <w:sz w:val="20"/>
          <w:szCs w:val="20"/>
          <w:lang w:val="fr-CH"/>
        </w:rPr>
        <w:t>de</w:t>
      </w:r>
      <w:r w:rsidR="00701885" w:rsidRPr="009437A2">
        <w:rPr>
          <w:rFonts w:cs="TimesNewRomanPSMT"/>
          <w:sz w:val="20"/>
          <w:szCs w:val="20"/>
          <w:lang w:val="fr-CH"/>
        </w:rPr>
        <w:t>s aménagements</w:t>
      </w:r>
      <w:r>
        <w:rPr>
          <w:rFonts w:cs="TimesNewRomanPSMT"/>
          <w:sz w:val="20"/>
          <w:szCs w:val="20"/>
          <w:lang w:val="fr-CH"/>
        </w:rPr>
        <w:t xml:space="preserve"> : </w:t>
      </w:r>
      <w:r w:rsidRPr="001A13AD">
        <w:rPr>
          <w:rFonts w:cs="TimesNewRomanPSMT"/>
          <w:b/>
          <w:sz w:val="20"/>
          <w:szCs w:val="20"/>
          <w:lang w:val="fr-CH"/>
        </w:rPr>
        <w:t xml:space="preserve">le </w:t>
      </w:r>
      <w:r w:rsidR="00701885" w:rsidRPr="001A13AD">
        <w:rPr>
          <w:rFonts w:cs="TimesNewRomanPSMT"/>
          <w:b/>
          <w:sz w:val="20"/>
          <w:szCs w:val="20"/>
          <w:lang w:val="fr-CH"/>
        </w:rPr>
        <w:t>principe démocratique</w:t>
      </w:r>
      <w:r>
        <w:rPr>
          <w:rFonts w:cs="TimesNewRomanPSMT"/>
          <w:sz w:val="20"/>
          <w:szCs w:val="20"/>
          <w:lang w:val="fr-CH"/>
        </w:rPr>
        <w:t xml:space="preserve"> (aménagé en Nouvelle-Calédonie pour stabiliser le corps électoral) ; </w:t>
      </w:r>
      <w:r w:rsidRPr="001A13AD">
        <w:rPr>
          <w:rFonts w:cs="TimesNewRomanPSMT"/>
          <w:b/>
          <w:sz w:val="20"/>
          <w:szCs w:val="20"/>
          <w:lang w:val="fr-CH"/>
        </w:rPr>
        <w:t>l</w:t>
      </w:r>
      <w:r w:rsidR="00701885" w:rsidRPr="009437A2">
        <w:rPr>
          <w:rFonts w:cs="TimesNewRomanPS-BoldMT"/>
          <w:b/>
          <w:bCs/>
          <w:sz w:val="20"/>
          <w:szCs w:val="20"/>
          <w:lang w:val="fr-CH"/>
        </w:rPr>
        <w:t xml:space="preserve">a prise en compte du statut d’autonomie par la Constitution </w:t>
      </w:r>
      <w:r>
        <w:rPr>
          <w:rFonts w:cs="TimesNewRomanPSMT"/>
          <w:sz w:val="20"/>
          <w:szCs w:val="20"/>
          <w:lang w:val="fr-CH"/>
        </w:rPr>
        <w:t>(</w:t>
      </w:r>
      <w:r w:rsidR="00701885" w:rsidRPr="009437A2">
        <w:rPr>
          <w:rFonts w:cs="TimesNewRomanPSMT"/>
          <w:sz w:val="20"/>
          <w:szCs w:val="20"/>
          <w:lang w:val="fr-CH"/>
        </w:rPr>
        <w:t>le pouvoir constituant national, le peuple ou ses représentants, dispose du pouvoir de décision</w:t>
      </w:r>
      <w:r>
        <w:rPr>
          <w:rFonts w:cs="TimesNewRomanPSMT"/>
          <w:sz w:val="20"/>
          <w:szCs w:val="20"/>
          <w:lang w:val="fr-CH"/>
        </w:rPr>
        <w:t xml:space="preserve">) ; </w:t>
      </w:r>
      <w:r w:rsidRPr="001A13AD">
        <w:rPr>
          <w:rFonts w:cs="TimesNewRomanPSMT"/>
          <w:b/>
          <w:sz w:val="20"/>
          <w:szCs w:val="20"/>
          <w:lang w:val="fr-CH"/>
        </w:rPr>
        <w:t>l</w:t>
      </w:r>
      <w:r w:rsidR="00701885" w:rsidRPr="009437A2">
        <w:rPr>
          <w:rFonts w:cs="TimesNewRomanPS-BoldMT"/>
          <w:b/>
          <w:bCs/>
          <w:sz w:val="20"/>
          <w:szCs w:val="20"/>
          <w:lang w:val="fr-CH"/>
        </w:rPr>
        <w:t xml:space="preserve">a protection des droits fondamentaux </w:t>
      </w:r>
      <w:r w:rsidR="00646838">
        <w:rPr>
          <w:rFonts w:cs="TimesNewRomanPSMT"/>
          <w:sz w:val="20"/>
          <w:szCs w:val="20"/>
          <w:lang w:val="fr-CH"/>
        </w:rPr>
        <w:t xml:space="preserve">(qui </w:t>
      </w:r>
      <w:r w:rsidR="00701885" w:rsidRPr="009437A2">
        <w:rPr>
          <w:rFonts w:cs="TimesNewRomanPSMT"/>
          <w:sz w:val="20"/>
          <w:szCs w:val="20"/>
          <w:lang w:val="fr-CH"/>
        </w:rPr>
        <w:t>doit rester une prérogative nationale</w:t>
      </w:r>
      <w:r w:rsidR="00646838">
        <w:rPr>
          <w:rFonts w:cs="TimesNewRomanPSMT"/>
          <w:sz w:val="20"/>
          <w:szCs w:val="20"/>
          <w:lang w:val="fr-CH"/>
        </w:rPr>
        <w:t>, c</w:t>
      </w:r>
      <w:r w:rsidR="00701885" w:rsidRPr="009437A2">
        <w:rPr>
          <w:rFonts w:cs="TimesNewRomanPSMT"/>
          <w:sz w:val="20"/>
          <w:szCs w:val="20"/>
          <w:lang w:val="fr-CH"/>
        </w:rPr>
        <w:t>es droits s’appliqu</w:t>
      </w:r>
      <w:r w:rsidR="00646838">
        <w:rPr>
          <w:rFonts w:cs="TimesNewRomanPSMT"/>
          <w:sz w:val="20"/>
          <w:szCs w:val="20"/>
          <w:lang w:val="fr-CH"/>
        </w:rPr>
        <w:t>ant</w:t>
      </w:r>
      <w:r w:rsidR="00701885" w:rsidRPr="009437A2">
        <w:rPr>
          <w:rFonts w:cs="TimesNewRomanPSMT"/>
          <w:sz w:val="20"/>
          <w:szCs w:val="20"/>
          <w:lang w:val="fr-CH"/>
        </w:rPr>
        <w:t xml:space="preserve"> à tous les citoyens, y compris ceux des entités autonomes</w:t>
      </w:r>
      <w:r w:rsidR="00646838">
        <w:rPr>
          <w:rFonts w:cs="TimesNewRomanPSMT"/>
          <w:sz w:val="20"/>
          <w:szCs w:val="20"/>
          <w:lang w:val="fr-CH"/>
        </w:rPr>
        <w:t xml:space="preserve">) ; </w:t>
      </w:r>
      <w:r w:rsidR="00646838" w:rsidRPr="00646838">
        <w:rPr>
          <w:rFonts w:cs="TimesNewRomanPSMT"/>
          <w:b/>
          <w:sz w:val="20"/>
          <w:szCs w:val="20"/>
          <w:lang w:val="fr-CH"/>
        </w:rPr>
        <w:t>l</w:t>
      </w:r>
      <w:r w:rsidR="00701885" w:rsidRPr="00646838">
        <w:rPr>
          <w:rFonts w:cs="TimesNewRomanPS-BoldItalicMT"/>
          <w:b/>
          <w:bCs/>
          <w:iCs/>
          <w:sz w:val="20"/>
          <w:szCs w:val="20"/>
          <w:lang w:val="fr-CH"/>
        </w:rPr>
        <w:t xml:space="preserve">a reconnaissance d’une autonomie politique </w:t>
      </w:r>
      <w:r w:rsidR="00646838">
        <w:rPr>
          <w:rFonts w:cs="TimesNewRomanPSMT"/>
          <w:sz w:val="20"/>
          <w:szCs w:val="20"/>
          <w:lang w:val="fr-CH"/>
        </w:rPr>
        <w:t>(</w:t>
      </w:r>
      <w:r w:rsidR="00701885" w:rsidRPr="009437A2">
        <w:rPr>
          <w:rFonts w:cs="TimesNewRomanPSMT"/>
          <w:sz w:val="20"/>
          <w:szCs w:val="20"/>
          <w:lang w:val="fr-CH"/>
        </w:rPr>
        <w:t>l’attribution d’un pouvoir législatif à l’autonomie autonome</w:t>
      </w:r>
      <w:r w:rsidR="00646838">
        <w:rPr>
          <w:rFonts w:cs="TimesNewRomanPSMT"/>
          <w:sz w:val="20"/>
          <w:szCs w:val="20"/>
          <w:lang w:val="fr-CH"/>
        </w:rPr>
        <w:t>, voire de compétences</w:t>
      </w:r>
      <w:r w:rsidR="00701885" w:rsidRPr="009437A2">
        <w:rPr>
          <w:rFonts w:cs="TimesNewRomanPSMT"/>
          <w:sz w:val="20"/>
          <w:szCs w:val="20"/>
          <w:lang w:val="fr-CH"/>
        </w:rPr>
        <w:t xml:space="preserve"> juridictionnelles </w:t>
      </w:r>
      <w:r w:rsidR="00646838">
        <w:rPr>
          <w:rFonts w:cs="TimesNewRomanPSMT"/>
          <w:sz w:val="20"/>
          <w:szCs w:val="20"/>
          <w:lang w:val="fr-CH"/>
        </w:rPr>
        <w:t>comme pour le Sahara).</w:t>
      </w:r>
    </w:p>
    <w:p w:rsidR="00646838" w:rsidRPr="00646838" w:rsidRDefault="00701885" w:rsidP="005E19E1">
      <w:pPr>
        <w:pStyle w:val="ListParagraph"/>
        <w:numPr>
          <w:ilvl w:val="0"/>
          <w:numId w:val="26"/>
        </w:numPr>
        <w:spacing w:after="0" w:line="240" w:lineRule="auto"/>
        <w:jc w:val="both"/>
        <w:rPr>
          <w:sz w:val="20"/>
          <w:szCs w:val="20"/>
          <w:lang w:val="fr-CH"/>
        </w:rPr>
      </w:pPr>
      <w:r w:rsidRPr="009437A2">
        <w:rPr>
          <w:rFonts w:cs="TimesNewRomanPS-BoldMT"/>
          <w:b/>
          <w:bCs/>
          <w:sz w:val="20"/>
          <w:szCs w:val="20"/>
          <w:lang w:val="fr-CH"/>
        </w:rPr>
        <w:t xml:space="preserve">Le contrôle de la répartition des compétences </w:t>
      </w:r>
      <w:r w:rsidRPr="009437A2">
        <w:rPr>
          <w:rFonts w:cs="TimesNewRomanPSMT"/>
          <w:sz w:val="20"/>
          <w:szCs w:val="20"/>
          <w:lang w:val="fr-CH"/>
        </w:rPr>
        <w:t>entre l’Etat et les régions autonomes</w:t>
      </w:r>
      <w:r w:rsidR="00646838">
        <w:rPr>
          <w:rFonts w:cs="TimesNewRomanPSMT"/>
          <w:sz w:val="20"/>
          <w:szCs w:val="20"/>
          <w:lang w:val="fr-CH"/>
        </w:rPr>
        <w:t xml:space="preserve"> d</w:t>
      </w:r>
      <w:r w:rsidRPr="009437A2">
        <w:rPr>
          <w:rFonts w:cs="TimesNewRomanPSMT"/>
          <w:sz w:val="20"/>
          <w:szCs w:val="20"/>
          <w:lang w:val="fr-CH"/>
        </w:rPr>
        <w:t xml:space="preserve">oit </w:t>
      </w:r>
      <w:r w:rsidR="00646838">
        <w:rPr>
          <w:rFonts w:cs="TimesNewRomanPSMT"/>
          <w:sz w:val="20"/>
          <w:szCs w:val="20"/>
          <w:lang w:val="fr-CH"/>
        </w:rPr>
        <w:t xml:space="preserve">pouvoir être </w:t>
      </w:r>
      <w:r w:rsidRPr="009437A2">
        <w:rPr>
          <w:rFonts w:cs="TimesNewRomanPSMT"/>
          <w:sz w:val="20"/>
          <w:szCs w:val="20"/>
          <w:lang w:val="fr-CH"/>
        </w:rPr>
        <w:t>assuré par une Cour constitutionnelle ou une Cour suprême nationale</w:t>
      </w:r>
      <w:r w:rsidR="00646838">
        <w:rPr>
          <w:rFonts w:cs="TimesNewRomanPSMT"/>
          <w:sz w:val="20"/>
          <w:szCs w:val="20"/>
          <w:lang w:val="fr-CH"/>
        </w:rPr>
        <w:t xml:space="preserve"> (</w:t>
      </w:r>
      <w:r w:rsidRPr="009437A2">
        <w:rPr>
          <w:rFonts w:cs="TimesNewRomanPSMT"/>
          <w:sz w:val="20"/>
          <w:szCs w:val="20"/>
          <w:lang w:val="fr-CH"/>
        </w:rPr>
        <w:t>Espagne, Porto Rico</w:t>
      </w:r>
      <w:r w:rsidR="00EE602F">
        <w:rPr>
          <w:rFonts w:cs="TimesNewRomanPSMT"/>
          <w:sz w:val="20"/>
          <w:szCs w:val="20"/>
          <w:lang w:val="fr-CH"/>
        </w:rPr>
        <w:t>).</w:t>
      </w:r>
    </w:p>
    <w:p w:rsidR="00646838" w:rsidRPr="00646838" w:rsidRDefault="00701885" w:rsidP="005E19E1">
      <w:pPr>
        <w:pStyle w:val="ListParagraph"/>
        <w:numPr>
          <w:ilvl w:val="0"/>
          <w:numId w:val="26"/>
        </w:numPr>
        <w:spacing w:after="0" w:line="240" w:lineRule="auto"/>
        <w:jc w:val="both"/>
        <w:rPr>
          <w:sz w:val="20"/>
          <w:szCs w:val="20"/>
          <w:lang w:val="fr-CH"/>
        </w:rPr>
      </w:pPr>
      <w:r w:rsidRPr="009437A2">
        <w:rPr>
          <w:rFonts w:cs="TimesNewRomanPS-BoldMT"/>
          <w:b/>
          <w:bCs/>
          <w:sz w:val="20"/>
          <w:szCs w:val="20"/>
          <w:lang w:val="fr-CH"/>
        </w:rPr>
        <w:t xml:space="preserve">Les compétences de l’entité autonome </w:t>
      </w:r>
      <w:r w:rsidR="00646838">
        <w:rPr>
          <w:rFonts w:cs="TimesNewRomanPSMT"/>
          <w:sz w:val="20"/>
          <w:szCs w:val="20"/>
          <w:lang w:val="fr-CH"/>
        </w:rPr>
        <w:t>peuvent être dévolues par</w:t>
      </w:r>
      <w:r w:rsidRPr="009437A2">
        <w:rPr>
          <w:rFonts w:cs="TimesNewRomanPSMT"/>
          <w:sz w:val="20"/>
          <w:szCs w:val="20"/>
          <w:lang w:val="fr-CH"/>
        </w:rPr>
        <w:t xml:space="preserve"> un transfert progressif </w:t>
      </w:r>
      <w:r w:rsidR="00646838">
        <w:rPr>
          <w:rFonts w:cs="TimesNewRomanPSMT"/>
          <w:sz w:val="20"/>
          <w:szCs w:val="20"/>
          <w:lang w:val="fr-CH"/>
        </w:rPr>
        <w:t>(Nouvelle-Calédonie).</w:t>
      </w:r>
    </w:p>
    <w:p w:rsidR="00701885" w:rsidRPr="009437A2" w:rsidRDefault="00701885" w:rsidP="005E19E1">
      <w:pPr>
        <w:pStyle w:val="ListParagraph"/>
        <w:numPr>
          <w:ilvl w:val="0"/>
          <w:numId w:val="26"/>
        </w:numPr>
        <w:spacing w:after="0" w:line="240" w:lineRule="auto"/>
        <w:jc w:val="both"/>
        <w:rPr>
          <w:sz w:val="20"/>
          <w:szCs w:val="20"/>
          <w:lang w:val="fr-CH"/>
        </w:rPr>
      </w:pPr>
      <w:r w:rsidRPr="009437A2">
        <w:rPr>
          <w:rFonts w:cs="TimesNewRomanPS-BoldMT"/>
          <w:b/>
          <w:bCs/>
          <w:sz w:val="20"/>
          <w:szCs w:val="20"/>
          <w:lang w:val="fr-CH"/>
        </w:rPr>
        <w:t xml:space="preserve">La maîtrise des ressources naturelles </w:t>
      </w:r>
      <w:r w:rsidR="00646838">
        <w:rPr>
          <w:rFonts w:cs="TimesNewRomanPS-BoldMT"/>
          <w:b/>
          <w:bCs/>
          <w:sz w:val="20"/>
          <w:szCs w:val="20"/>
          <w:lang w:val="fr-CH"/>
        </w:rPr>
        <w:t xml:space="preserve"> est importante </w:t>
      </w:r>
      <w:r w:rsidR="00646838">
        <w:rPr>
          <w:rFonts w:cs="TimesNewRomanPSMT"/>
          <w:sz w:val="20"/>
          <w:szCs w:val="20"/>
          <w:lang w:val="fr-CH"/>
        </w:rPr>
        <w:t xml:space="preserve">(à </w:t>
      </w:r>
      <w:r w:rsidRPr="009437A2">
        <w:rPr>
          <w:rFonts w:cs="TimesNewRomanPSMT"/>
          <w:sz w:val="20"/>
          <w:szCs w:val="20"/>
          <w:lang w:val="fr-CH"/>
        </w:rPr>
        <w:t>Aceh, le partage de ces ressources a été à l’origine de nouveaux conflits</w:t>
      </w:r>
      <w:r w:rsidR="00646838">
        <w:rPr>
          <w:rFonts w:cs="TimesNewRomanPSMT"/>
          <w:sz w:val="20"/>
          <w:szCs w:val="20"/>
          <w:lang w:val="fr-CH"/>
        </w:rPr>
        <w:t>, alors que l</w:t>
      </w:r>
      <w:r w:rsidRPr="009437A2">
        <w:rPr>
          <w:rFonts w:cs="TimesNewRomanPSMT"/>
          <w:sz w:val="20"/>
          <w:szCs w:val="20"/>
          <w:lang w:val="fr-CH"/>
        </w:rPr>
        <w:t>e projet marocain accorde aux populations du Sahara une large maîtrise de leurs ressources</w:t>
      </w:r>
      <w:r w:rsidR="00646838">
        <w:rPr>
          <w:rFonts w:cs="TimesNewRomanPSMT"/>
          <w:sz w:val="20"/>
          <w:szCs w:val="20"/>
          <w:lang w:val="fr-CH"/>
        </w:rPr>
        <w:t>.</w:t>
      </w:r>
    </w:p>
    <w:p w:rsidR="00701885" w:rsidRPr="00D97333" w:rsidRDefault="00701885" w:rsidP="00D97333">
      <w:pPr>
        <w:pBdr>
          <w:top w:val="nil"/>
          <w:left w:val="nil"/>
          <w:bottom w:val="nil"/>
          <w:right w:val="nil"/>
          <w:between w:val="nil"/>
          <w:bar w:val="nil"/>
        </w:pBdr>
        <w:spacing w:after="0" w:line="240" w:lineRule="auto"/>
        <w:jc w:val="both"/>
        <w:rPr>
          <w:rFonts w:eastAsia="Arial" w:cs="Arial"/>
          <w:color w:val="000000" w:themeColor="text1"/>
          <w:sz w:val="20"/>
          <w:szCs w:val="20"/>
          <w:lang w:val="fr-CH"/>
        </w:rPr>
      </w:pPr>
    </w:p>
    <w:p w:rsidR="00701885" w:rsidRDefault="009437A2" w:rsidP="009437A2">
      <w:pPr>
        <w:pBdr>
          <w:top w:val="nil"/>
          <w:left w:val="nil"/>
          <w:bottom w:val="nil"/>
          <w:right w:val="nil"/>
          <w:between w:val="nil"/>
          <w:bar w:val="nil"/>
        </w:pBdr>
        <w:spacing w:after="0" w:line="240" w:lineRule="auto"/>
        <w:jc w:val="both"/>
        <w:rPr>
          <w:rFonts w:cs="Arial"/>
          <w:color w:val="000000" w:themeColor="text1"/>
          <w:sz w:val="20"/>
          <w:szCs w:val="20"/>
          <w:lang w:val="fr-CH"/>
        </w:rPr>
      </w:pPr>
      <w:r>
        <w:rPr>
          <w:rFonts w:cs="Arial"/>
          <w:color w:val="000000" w:themeColor="text1"/>
          <w:sz w:val="20"/>
          <w:szCs w:val="20"/>
          <w:lang w:val="fr-CH"/>
        </w:rPr>
        <w:t xml:space="preserve">3) </w:t>
      </w:r>
      <w:r w:rsidR="00701885" w:rsidRPr="009437A2">
        <w:rPr>
          <w:rFonts w:cs="Arial"/>
          <w:color w:val="000000" w:themeColor="text1"/>
          <w:sz w:val="20"/>
          <w:szCs w:val="20"/>
          <w:lang w:val="fr-CH"/>
        </w:rPr>
        <w:t>Le</w:t>
      </w:r>
      <w:r w:rsidR="00701885" w:rsidRPr="009437A2">
        <w:rPr>
          <w:rFonts w:cs="Arial"/>
          <w:b/>
          <w:bCs/>
          <w:color w:val="000000" w:themeColor="text1"/>
          <w:sz w:val="20"/>
          <w:szCs w:val="20"/>
          <w:lang w:val="fr-CH"/>
        </w:rPr>
        <w:t xml:space="preserve"> 4 juin 2012</w:t>
      </w:r>
      <w:r w:rsidR="00701885" w:rsidRPr="009437A2">
        <w:rPr>
          <w:rFonts w:cs="Arial"/>
          <w:color w:val="000000" w:themeColor="text1"/>
          <w:sz w:val="20"/>
          <w:szCs w:val="20"/>
          <w:lang w:val="fr-CH"/>
        </w:rPr>
        <w:t xml:space="preserve"> à Genève sur « </w:t>
      </w:r>
      <w:r w:rsidR="00701885" w:rsidRPr="009437A2">
        <w:rPr>
          <w:rFonts w:cs="Arial"/>
          <w:b/>
          <w:color w:val="000000" w:themeColor="text1"/>
          <w:sz w:val="20"/>
          <w:szCs w:val="20"/>
          <w:lang w:val="fr-CH"/>
        </w:rPr>
        <w:t>La gestion des ressources naturelles dans les statuts d’autonomie</w:t>
      </w:r>
      <w:r w:rsidR="00701885" w:rsidRPr="009437A2">
        <w:rPr>
          <w:rFonts w:cs="Arial"/>
          <w:color w:val="000000" w:themeColor="text1"/>
          <w:sz w:val="20"/>
          <w:szCs w:val="20"/>
          <w:lang w:val="fr-CH"/>
        </w:rPr>
        <w:t> »,</w:t>
      </w:r>
      <w:r>
        <w:rPr>
          <w:rFonts w:cs="Arial"/>
          <w:color w:val="000000" w:themeColor="text1"/>
          <w:sz w:val="20"/>
          <w:szCs w:val="20"/>
          <w:lang w:val="fr-CH"/>
        </w:rPr>
        <w:t xml:space="preserve"> qui s’est penché de nouveau sur les cas de la Nouvelle-Calédonie, d’Aceh et du Groenland, mais aussi du Kurdistan irakien</w:t>
      </w:r>
      <w:r w:rsidR="00DA46DA">
        <w:rPr>
          <w:rFonts w:cs="Arial"/>
          <w:color w:val="000000" w:themeColor="text1"/>
          <w:sz w:val="20"/>
          <w:szCs w:val="20"/>
          <w:lang w:val="fr-CH"/>
        </w:rPr>
        <w:t xml:space="preserve"> et du Québec</w:t>
      </w:r>
      <w:r>
        <w:rPr>
          <w:rFonts w:cs="Arial"/>
          <w:color w:val="000000" w:themeColor="text1"/>
          <w:sz w:val="20"/>
          <w:szCs w:val="20"/>
          <w:lang w:val="fr-CH"/>
        </w:rPr>
        <w:t>,</w:t>
      </w:r>
      <w:r w:rsidR="007170F1">
        <w:rPr>
          <w:rFonts w:cs="Arial"/>
          <w:color w:val="000000" w:themeColor="text1"/>
          <w:sz w:val="20"/>
          <w:szCs w:val="20"/>
          <w:lang w:val="fr-CH"/>
        </w:rPr>
        <w:t xml:space="preserve"> qui a permis de dégager les orientations suivantes :</w:t>
      </w:r>
    </w:p>
    <w:p w:rsidR="007170F1" w:rsidRDefault="007170F1" w:rsidP="005E19E1">
      <w:pPr>
        <w:pStyle w:val="ListParagraph"/>
        <w:numPr>
          <w:ilvl w:val="0"/>
          <w:numId w:val="25"/>
        </w:numPr>
        <w:pBdr>
          <w:top w:val="nil"/>
          <w:left w:val="nil"/>
          <w:bottom w:val="nil"/>
          <w:right w:val="nil"/>
          <w:between w:val="nil"/>
          <w:bar w:val="nil"/>
        </w:pBdr>
        <w:autoSpaceDE w:val="0"/>
        <w:autoSpaceDN w:val="0"/>
        <w:adjustRightInd w:val="0"/>
        <w:spacing w:after="0" w:line="240" w:lineRule="auto"/>
        <w:jc w:val="both"/>
        <w:rPr>
          <w:rFonts w:cs="TimesNewRomanPSMT"/>
          <w:sz w:val="20"/>
          <w:szCs w:val="20"/>
          <w:lang w:val="fr-CH"/>
        </w:rPr>
      </w:pPr>
      <w:r>
        <w:rPr>
          <w:rFonts w:cs="Arial"/>
          <w:color w:val="000000" w:themeColor="text1"/>
          <w:sz w:val="20"/>
          <w:szCs w:val="20"/>
          <w:lang w:val="fr-CH"/>
        </w:rPr>
        <w:t>L</w:t>
      </w:r>
      <w:r w:rsidRPr="007170F1">
        <w:rPr>
          <w:rFonts w:cs="Arial"/>
          <w:color w:val="000000" w:themeColor="text1"/>
          <w:sz w:val="20"/>
          <w:szCs w:val="20"/>
          <w:lang w:val="fr-CH"/>
        </w:rPr>
        <w:t xml:space="preserve">es </w:t>
      </w:r>
      <w:r w:rsidRPr="00DA46DA">
        <w:rPr>
          <w:rFonts w:cs="Arial"/>
          <w:b/>
          <w:color w:val="000000" w:themeColor="text1"/>
          <w:sz w:val="20"/>
          <w:szCs w:val="20"/>
          <w:lang w:val="fr-CH"/>
        </w:rPr>
        <w:t xml:space="preserve">modes de </w:t>
      </w:r>
      <w:r w:rsidR="00345CF7" w:rsidRPr="00DA46DA">
        <w:rPr>
          <w:rFonts w:cs="TimesNewRomanPSMT"/>
          <w:b/>
          <w:sz w:val="20"/>
          <w:szCs w:val="20"/>
          <w:lang w:val="fr-CH"/>
        </w:rPr>
        <w:t>gestion des ressources naturelles</w:t>
      </w:r>
      <w:r w:rsidR="00345CF7" w:rsidRPr="007170F1">
        <w:rPr>
          <w:rFonts w:cs="TimesNewRomanPSMT"/>
          <w:sz w:val="20"/>
          <w:szCs w:val="20"/>
          <w:lang w:val="fr-CH"/>
        </w:rPr>
        <w:t xml:space="preserve"> </w:t>
      </w:r>
      <w:r>
        <w:rPr>
          <w:rFonts w:cs="TimesNewRomanPSMT"/>
          <w:sz w:val="20"/>
          <w:szCs w:val="20"/>
          <w:lang w:val="fr-CH"/>
        </w:rPr>
        <w:t>peuvent s’appuyer sur le</w:t>
      </w:r>
      <w:r w:rsidR="00345CF7" w:rsidRPr="007170F1">
        <w:rPr>
          <w:rFonts w:cs="TimesNewRomanPSMT"/>
          <w:sz w:val="20"/>
          <w:szCs w:val="20"/>
          <w:lang w:val="fr-CH"/>
        </w:rPr>
        <w:t xml:space="preserve"> partage des compétences entre </w:t>
      </w:r>
      <w:r>
        <w:rPr>
          <w:rFonts w:cs="TimesNewRomanPSMT"/>
          <w:sz w:val="20"/>
          <w:szCs w:val="20"/>
          <w:lang w:val="fr-CH"/>
        </w:rPr>
        <w:t xml:space="preserve">l’Etat central et les entités autonomes (en </w:t>
      </w:r>
      <w:r w:rsidR="00345CF7" w:rsidRPr="007170F1">
        <w:rPr>
          <w:rFonts w:cs="TimesNewRomanPSMT"/>
          <w:sz w:val="20"/>
          <w:szCs w:val="20"/>
          <w:lang w:val="fr-CH"/>
        </w:rPr>
        <w:t>Nouvelle-Calédonie</w:t>
      </w:r>
      <w:r>
        <w:rPr>
          <w:rFonts w:cs="TimesNewRomanPSMT"/>
          <w:sz w:val="20"/>
          <w:szCs w:val="20"/>
          <w:lang w:val="fr-CH"/>
        </w:rPr>
        <w:t>, ils visent à</w:t>
      </w:r>
      <w:r w:rsidR="00345CF7" w:rsidRPr="007170F1">
        <w:rPr>
          <w:rFonts w:cs="TimesNewRomanPSMT"/>
          <w:sz w:val="20"/>
          <w:szCs w:val="20"/>
          <w:lang w:val="fr-CH"/>
        </w:rPr>
        <w:t xml:space="preserve"> faire bénéficier la population locale des revenus tirés de l’exploitation de ces ressources</w:t>
      </w:r>
      <w:r>
        <w:rPr>
          <w:rFonts w:cs="TimesNewRomanPSMT"/>
          <w:sz w:val="20"/>
          <w:szCs w:val="20"/>
          <w:lang w:val="fr-CH"/>
        </w:rPr>
        <w:t>)</w:t>
      </w:r>
      <w:r w:rsidR="00345CF7" w:rsidRPr="007170F1">
        <w:rPr>
          <w:rFonts w:cs="TimesNewRomanPSMT"/>
          <w:sz w:val="20"/>
          <w:szCs w:val="20"/>
          <w:lang w:val="fr-CH"/>
        </w:rPr>
        <w:t xml:space="preserve">. </w:t>
      </w:r>
      <w:r>
        <w:rPr>
          <w:rFonts w:cs="TimesNewRomanPSMT"/>
          <w:sz w:val="20"/>
          <w:szCs w:val="20"/>
          <w:lang w:val="fr-CH"/>
        </w:rPr>
        <w:t xml:space="preserve">Au </w:t>
      </w:r>
      <w:r w:rsidR="00345CF7" w:rsidRPr="007170F1">
        <w:rPr>
          <w:rFonts w:cs="TimesNewRomanPSMT"/>
          <w:sz w:val="20"/>
          <w:szCs w:val="20"/>
          <w:lang w:val="fr-CH"/>
        </w:rPr>
        <w:t xml:space="preserve">Sahara, la question de la gestion des ressources naturelles peut constituer une façon d’avancer dans la gestion du conflit. </w:t>
      </w:r>
    </w:p>
    <w:p w:rsidR="007170F1" w:rsidRDefault="007170F1" w:rsidP="005E19E1">
      <w:pPr>
        <w:pStyle w:val="ListParagraph"/>
        <w:numPr>
          <w:ilvl w:val="0"/>
          <w:numId w:val="25"/>
        </w:numPr>
        <w:pBdr>
          <w:top w:val="nil"/>
          <w:left w:val="nil"/>
          <w:bottom w:val="nil"/>
          <w:right w:val="nil"/>
          <w:between w:val="nil"/>
          <w:bar w:val="nil"/>
        </w:pBdr>
        <w:autoSpaceDE w:val="0"/>
        <w:autoSpaceDN w:val="0"/>
        <w:adjustRightInd w:val="0"/>
        <w:spacing w:after="0" w:line="240" w:lineRule="auto"/>
        <w:jc w:val="both"/>
        <w:rPr>
          <w:rFonts w:cs="TimesNewRomanPSMT"/>
          <w:sz w:val="20"/>
          <w:szCs w:val="20"/>
          <w:lang w:val="fr-CH"/>
        </w:rPr>
      </w:pPr>
      <w:r>
        <w:rPr>
          <w:rFonts w:cs="TimesNewRomanPSMT"/>
          <w:sz w:val="20"/>
          <w:szCs w:val="20"/>
          <w:lang w:val="fr-CH"/>
        </w:rPr>
        <w:t xml:space="preserve">La </w:t>
      </w:r>
      <w:r w:rsidRPr="00DA46DA">
        <w:rPr>
          <w:rFonts w:cs="TimesNewRomanPSMT"/>
          <w:b/>
          <w:sz w:val="20"/>
          <w:szCs w:val="20"/>
          <w:lang w:val="fr-CH"/>
        </w:rPr>
        <w:t>répartition des compétences</w:t>
      </w:r>
      <w:r w:rsidR="008670B8">
        <w:rPr>
          <w:rFonts w:cs="TimesNewRomanPSMT"/>
          <w:sz w:val="20"/>
          <w:szCs w:val="20"/>
          <w:lang w:val="fr-CH"/>
        </w:rPr>
        <w:t xml:space="preserve"> devrai</w:t>
      </w:r>
      <w:r w:rsidR="00701885" w:rsidRPr="00D97333">
        <w:rPr>
          <w:rFonts w:cs="TimesNewRomanPSMT"/>
          <w:sz w:val="20"/>
          <w:szCs w:val="20"/>
          <w:lang w:val="fr-CH"/>
        </w:rPr>
        <w:t>t être consacrée dans une Constitution à l'élaboration de laquelle toutes les parties devraient être associées</w:t>
      </w:r>
      <w:r>
        <w:rPr>
          <w:rFonts w:cs="TimesNewRomanPSMT"/>
          <w:sz w:val="20"/>
          <w:szCs w:val="20"/>
          <w:lang w:val="fr-CH"/>
        </w:rPr>
        <w:t>.</w:t>
      </w:r>
    </w:p>
    <w:p w:rsidR="007170F1" w:rsidRDefault="00701885" w:rsidP="005E19E1">
      <w:pPr>
        <w:pStyle w:val="ListParagraph"/>
        <w:numPr>
          <w:ilvl w:val="0"/>
          <w:numId w:val="25"/>
        </w:numPr>
        <w:pBdr>
          <w:top w:val="nil"/>
          <w:left w:val="nil"/>
          <w:bottom w:val="nil"/>
          <w:right w:val="nil"/>
          <w:between w:val="nil"/>
          <w:bar w:val="nil"/>
        </w:pBdr>
        <w:autoSpaceDE w:val="0"/>
        <w:autoSpaceDN w:val="0"/>
        <w:adjustRightInd w:val="0"/>
        <w:spacing w:after="0" w:line="240" w:lineRule="auto"/>
        <w:jc w:val="both"/>
        <w:rPr>
          <w:rFonts w:cs="TimesNewRomanPSMT"/>
          <w:sz w:val="20"/>
          <w:szCs w:val="20"/>
          <w:lang w:val="fr-CH"/>
        </w:rPr>
      </w:pPr>
      <w:r w:rsidRPr="00D97333">
        <w:rPr>
          <w:rFonts w:cs="TimesNewRomanPSMT"/>
          <w:sz w:val="20"/>
          <w:szCs w:val="20"/>
          <w:lang w:val="fr-CH"/>
        </w:rPr>
        <w:t xml:space="preserve">Dans le domaine de l'économie, le gouvernement central devrait commencer par allouer les </w:t>
      </w:r>
      <w:r w:rsidRPr="00DA46DA">
        <w:rPr>
          <w:rFonts w:cs="TimesNewRomanPSMT"/>
          <w:b/>
          <w:sz w:val="20"/>
          <w:szCs w:val="20"/>
          <w:lang w:val="fr-CH"/>
        </w:rPr>
        <w:t>budgets nécessaires au développement</w:t>
      </w:r>
      <w:r w:rsidRPr="00D97333">
        <w:rPr>
          <w:rFonts w:cs="TimesNewRomanPSMT"/>
          <w:sz w:val="20"/>
          <w:szCs w:val="20"/>
          <w:lang w:val="fr-CH"/>
        </w:rPr>
        <w:t xml:space="preserve"> de la région</w:t>
      </w:r>
      <w:r w:rsidR="007170F1">
        <w:rPr>
          <w:rFonts w:cs="TimesNewRomanPSMT"/>
          <w:sz w:val="20"/>
          <w:szCs w:val="20"/>
          <w:lang w:val="fr-CH"/>
        </w:rPr>
        <w:t xml:space="preserve"> et l</w:t>
      </w:r>
      <w:r w:rsidRPr="00D97333">
        <w:rPr>
          <w:rFonts w:cs="TimesNewRomanPSMT"/>
          <w:sz w:val="20"/>
          <w:szCs w:val="20"/>
          <w:lang w:val="fr-CH"/>
        </w:rPr>
        <w:t>e secteur des services</w:t>
      </w:r>
      <w:r w:rsidR="007170F1">
        <w:rPr>
          <w:rFonts w:cs="TimesNewRomanPSMT"/>
          <w:sz w:val="20"/>
          <w:szCs w:val="20"/>
          <w:lang w:val="fr-CH"/>
        </w:rPr>
        <w:t>, y compris l’éducation,</w:t>
      </w:r>
      <w:r w:rsidRPr="00D97333">
        <w:rPr>
          <w:rFonts w:cs="TimesNewRomanPSMT"/>
          <w:sz w:val="20"/>
          <w:szCs w:val="20"/>
          <w:lang w:val="fr-CH"/>
        </w:rPr>
        <w:t xml:space="preserve"> devrait être sa préoccupation première. </w:t>
      </w:r>
    </w:p>
    <w:p w:rsidR="007170F1" w:rsidRDefault="007170F1" w:rsidP="005E19E1">
      <w:pPr>
        <w:pStyle w:val="ListParagraph"/>
        <w:numPr>
          <w:ilvl w:val="0"/>
          <w:numId w:val="25"/>
        </w:numPr>
        <w:pBdr>
          <w:top w:val="nil"/>
          <w:left w:val="nil"/>
          <w:bottom w:val="nil"/>
          <w:right w:val="nil"/>
          <w:between w:val="nil"/>
          <w:bar w:val="nil"/>
        </w:pBdr>
        <w:autoSpaceDE w:val="0"/>
        <w:autoSpaceDN w:val="0"/>
        <w:adjustRightInd w:val="0"/>
        <w:spacing w:after="0" w:line="240" w:lineRule="auto"/>
        <w:jc w:val="both"/>
        <w:rPr>
          <w:rFonts w:cs="TimesNewRomanPSMT"/>
          <w:sz w:val="20"/>
          <w:szCs w:val="20"/>
          <w:lang w:val="fr-CH"/>
        </w:rPr>
      </w:pPr>
      <w:r w:rsidRPr="007170F1">
        <w:rPr>
          <w:rFonts w:cs="TimesNewRomanPSMT"/>
          <w:sz w:val="20"/>
          <w:szCs w:val="20"/>
          <w:lang w:val="fr-CH"/>
        </w:rPr>
        <w:t>C</w:t>
      </w:r>
      <w:r w:rsidR="00701885" w:rsidRPr="007170F1">
        <w:rPr>
          <w:rFonts w:cs="TimesNewRomanPSMT"/>
          <w:sz w:val="20"/>
          <w:szCs w:val="20"/>
          <w:lang w:val="fr-CH"/>
        </w:rPr>
        <w:t xml:space="preserve">es solutions n'ont de sens que </w:t>
      </w:r>
      <w:r w:rsidRPr="007170F1">
        <w:rPr>
          <w:rFonts w:cs="TimesNewRomanPSMT"/>
          <w:sz w:val="20"/>
          <w:szCs w:val="20"/>
          <w:lang w:val="fr-CH"/>
        </w:rPr>
        <w:t>si</w:t>
      </w:r>
      <w:r w:rsidR="00701885" w:rsidRPr="007170F1">
        <w:rPr>
          <w:rFonts w:cs="TimesNewRomanPSMT"/>
          <w:sz w:val="20"/>
          <w:szCs w:val="20"/>
          <w:lang w:val="fr-CH"/>
        </w:rPr>
        <w:t xml:space="preserve"> une </w:t>
      </w:r>
      <w:r w:rsidR="00701885" w:rsidRPr="00DA46DA">
        <w:rPr>
          <w:rFonts w:cs="TimesNewRomanPSMT"/>
          <w:b/>
          <w:sz w:val="20"/>
          <w:szCs w:val="20"/>
          <w:lang w:val="fr-CH"/>
        </w:rPr>
        <w:t>confiance mutuelle</w:t>
      </w:r>
      <w:r w:rsidR="00701885" w:rsidRPr="007170F1">
        <w:rPr>
          <w:rFonts w:cs="TimesNewRomanPSMT"/>
          <w:sz w:val="20"/>
          <w:szCs w:val="20"/>
          <w:lang w:val="fr-CH"/>
        </w:rPr>
        <w:t xml:space="preserve"> est instaurée entre le gouvernement central et la population, les parties ou les organisations qui représentent la région. Le problème du Sahara, tout comme tout autre problème similaire, ne peut être réglé que par la négociation et des pourparlers directs entre les parties concernées. L'autonomie pleine et entière, si elle est acceptée par les différentes parties, pourrait être une bonne occasion d'entamer des négociations. </w:t>
      </w:r>
    </w:p>
    <w:p w:rsidR="00DA46DA" w:rsidRPr="00DA46DA" w:rsidRDefault="007170F1" w:rsidP="005E19E1">
      <w:pPr>
        <w:pStyle w:val="ListParagraph"/>
        <w:numPr>
          <w:ilvl w:val="0"/>
          <w:numId w:val="25"/>
        </w:numPr>
        <w:pBdr>
          <w:top w:val="nil"/>
          <w:left w:val="nil"/>
          <w:bottom w:val="nil"/>
          <w:right w:val="nil"/>
          <w:between w:val="nil"/>
          <w:bar w:val="nil"/>
        </w:pBdr>
        <w:autoSpaceDE w:val="0"/>
        <w:autoSpaceDN w:val="0"/>
        <w:adjustRightInd w:val="0"/>
        <w:spacing w:after="0" w:line="240" w:lineRule="auto"/>
        <w:jc w:val="both"/>
        <w:rPr>
          <w:rFonts w:cs="Arial"/>
          <w:color w:val="000000" w:themeColor="text1"/>
          <w:sz w:val="20"/>
          <w:szCs w:val="20"/>
          <w:lang w:val="fr-CH"/>
        </w:rPr>
      </w:pPr>
      <w:r w:rsidRPr="00DA46DA">
        <w:rPr>
          <w:rFonts w:cs="TimesNewRomanPSMT"/>
          <w:sz w:val="20"/>
          <w:szCs w:val="20"/>
          <w:lang w:val="fr-CH"/>
        </w:rPr>
        <w:t>Le</w:t>
      </w:r>
      <w:r w:rsidR="00701885" w:rsidRPr="00DA46DA">
        <w:rPr>
          <w:rFonts w:cs="TimesNewRomanPSMT"/>
          <w:sz w:val="20"/>
          <w:szCs w:val="20"/>
          <w:lang w:val="fr-CH"/>
        </w:rPr>
        <w:t xml:space="preserve"> statut autonome de la Région du Sahara </w:t>
      </w:r>
      <w:r w:rsidRPr="00DA46DA">
        <w:rPr>
          <w:rFonts w:cs="TimesNewRomanPSMT"/>
          <w:sz w:val="20"/>
          <w:szCs w:val="20"/>
          <w:lang w:val="fr-CH"/>
        </w:rPr>
        <w:t>inclut les</w:t>
      </w:r>
      <w:r w:rsidR="00701885" w:rsidRPr="00DA46DA">
        <w:rPr>
          <w:rFonts w:cs="TimesNewRomanPSMT"/>
          <w:sz w:val="20"/>
          <w:szCs w:val="20"/>
          <w:lang w:val="fr-CH"/>
        </w:rPr>
        <w:t xml:space="preserve"> points de comparaison suivants </w:t>
      </w:r>
      <w:r w:rsidR="00DA46DA" w:rsidRPr="00DA46DA">
        <w:rPr>
          <w:rFonts w:cs="TimesNewRomanPSMT"/>
          <w:sz w:val="20"/>
          <w:szCs w:val="20"/>
          <w:lang w:val="fr-CH"/>
        </w:rPr>
        <w:t xml:space="preserve">(notamment avec le Canada) </w:t>
      </w:r>
      <w:r w:rsidR="00701885" w:rsidRPr="00DA46DA">
        <w:rPr>
          <w:rFonts w:cs="TimesNewRomanPSMT"/>
          <w:sz w:val="20"/>
          <w:szCs w:val="20"/>
          <w:lang w:val="fr-CH"/>
        </w:rPr>
        <w:t>:</w:t>
      </w:r>
      <w:r w:rsidR="00701885" w:rsidRPr="00DA46DA">
        <w:rPr>
          <w:rFonts w:cs="ArialMT"/>
          <w:sz w:val="20"/>
          <w:szCs w:val="20"/>
          <w:lang w:val="fr-CH"/>
        </w:rPr>
        <w:t xml:space="preserve"> </w:t>
      </w:r>
      <w:r w:rsidR="00701885" w:rsidRPr="00DA46DA">
        <w:rPr>
          <w:rFonts w:cs="TimesNewRomanPSMT"/>
          <w:sz w:val="20"/>
          <w:szCs w:val="20"/>
          <w:lang w:val="fr-CH"/>
        </w:rPr>
        <w:t xml:space="preserve">la reconnaissance de </w:t>
      </w:r>
      <w:r w:rsidR="00701885" w:rsidRPr="00DA46DA">
        <w:rPr>
          <w:rFonts w:cs="TimesNewRomanPSMT"/>
          <w:b/>
          <w:sz w:val="20"/>
          <w:szCs w:val="20"/>
          <w:lang w:val="fr-CH"/>
        </w:rPr>
        <w:t>l’importance des ressources naturelles</w:t>
      </w:r>
      <w:r w:rsidR="00701885" w:rsidRPr="00DA46DA">
        <w:rPr>
          <w:rFonts w:cs="TimesNewRomanPSMT"/>
          <w:sz w:val="20"/>
          <w:szCs w:val="20"/>
          <w:lang w:val="fr-CH"/>
        </w:rPr>
        <w:t xml:space="preserve"> </w:t>
      </w:r>
      <w:r w:rsidR="00DA46DA" w:rsidRPr="00DA46DA">
        <w:rPr>
          <w:rFonts w:cs="TimesNewRomanPSMT"/>
          <w:sz w:val="20"/>
          <w:szCs w:val="20"/>
          <w:lang w:val="fr-CH"/>
        </w:rPr>
        <w:t>comme</w:t>
      </w:r>
      <w:r w:rsidR="00701885" w:rsidRPr="00DA46DA">
        <w:rPr>
          <w:rFonts w:cs="TimesNewRomanPSMT"/>
          <w:sz w:val="20"/>
          <w:szCs w:val="20"/>
          <w:lang w:val="fr-CH"/>
        </w:rPr>
        <w:t xml:space="preserve"> source de revenus et de développement e</w:t>
      </w:r>
      <w:r w:rsidR="00DA46DA" w:rsidRPr="00DA46DA">
        <w:rPr>
          <w:rFonts w:cs="TimesNewRomanPSMT"/>
          <w:sz w:val="20"/>
          <w:szCs w:val="20"/>
          <w:lang w:val="fr-CH"/>
        </w:rPr>
        <w:t>t comme</w:t>
      </w:r>
      <w:r w:rsidR="00701885" w:rsidRPr="00DA46DA">
        <w:rPr>
          <w:rFonts w:cs="TimesNewRomanPSMT"/>
          <w:sz w:val="20"/>
          <w:szCs w:val="20"/>
          <w:lang w:val="fr-CH"/>
        </w:rPr>
        <w:t xml:space="preserve"> potentiel stratégique à long terme ; la volonté</w:t>
      </w:r>
      <w:r w:rsidR="00DA46DA" w:rsidRPr="00DA46DA">
        <w:rPr>
          <w:rFonts w:cs="TimesNewRomanPSMT"/>
          <w:sz w:val="20"/>
          <w:szCs w:val="20"/>
          <w:lang w:val="fr-CH"/>
        </w:rPr>
        <w:t xml:space="preserve"> </w:t>
      </w:r>
      <w:r w:rsidR="00701885" w:rsidRPr="00DA46DA">
        <w:rPr>
          <w:rFonts w:cs="TimesNewRomanPSMT"/>
          <w:sz w:val="20"/>
          <w:szCs w:val="20"/>
          <w:lang w:val="fr-CH"/>
        </w:rPr>
        <w:t>de concilier</w:t>
      </w:r>
      <w:r w:rsidR="00DA46DA" w:rsidRPr="00DA46DA">
        <w:rPr>
          <w:rFonts w:cs="TimesNewRomanPSMT"/>
          <w:sz w:val="20"/>
          <w:szCs w:val="20"/>
          <w:lang w:val="fr-CH"/>
        </w:rPr>
        <w:t xml:space="preserve"> </w:t>
      </w:r>
      <w:r w:rsidR="00701885" w:rsidRPr="00DA46DA">
        <w:rPr>
          <w:rFonts w:cs="TimesNewRomanPSMT"/>
          <w:sz w:val="20"/>
          <w:szCs w:val="20"/>
          <w:lang w:val="fr-CH"/>
        </w:rPr>
        <w:t xml:space="preserve">les </w:t>
      </w:r>
      <w:r w:rsidR="00701885" w:rsidRPr="00DA46DA">
        <w:rPr>
          <w:rFonts w:cs="TimesNewRomanPSMT"/>
          <w:b/>
          <w:sz w:val="20"/>
          <w:szCs w:val="20"/>
          <w:lang w:val="fr-CH"/>
        </w:rPr>
        <w:t>besoins de développement autonome des populations locales et la préservation des compétences régaliennes de l’État central</w:t>
      </w:r>
      <w:r w:rsidR="00701885" w:rsidRPr="00DA46DA">
        <w:rPr>
          <w:rFonts w:cs="TimesNewRomanPSMT"/>
          <w:sz w:val="20"/>
          <w:szCs w:val="20"/>
          <w:lang w:val="fr-CH"/>
        </w:rPr>
        <w:t xml:space="preserve"> ; la nécessité d’accroître les ressources accordées à la région autonome par un éventuel </w:t>
      </w:r>
      <w:r w:rsidR="00701885" w:rsidRPr="00DA46DA">
        <w:rPr>
          <w:rFonts w:cs="TimesNewRomanPSMT"/>
          <w:b/>
          <w:sz w:val="20"/>
          <w:szCs w:val="20"/>
          <w:lang w:val="fr-CH"/>
        </w:rPr>
        <w:t>complément de resso</w:t>
      </w:r>
      <w:r w:rsidR="00DA46DA">
        <w:rPr>
          <w:rFonts w:cs="TimesNewRomanPSMT"/>
          <w:b/>
          <w:sz w:val="20"/>
          <w:szCs w:val="20"/>
          <w:lang w:val="fr-CH"/>
        </w:rPr>
        <w:t>urces fiscales provenant de la « </w:t>
      </w:r>
      <w:r w:rsidR="00701885" w:rsidRPr="00DA46DA">
        <w:rPr>
          <w:rFonts w:cs="TimesNewRomanPSMT"/>
          <w:b/>
          <w:sz w:val="20"/>
          <w:szCs w:val="20"/>
          <w:lang w:val="fr-CH"/>
        </w:rPr>
        <w:t>solidarité nationale</w:t>
      </w:r>
      <w:r w:rsidR="00DA46DA">
        <w:rPr>
          <w:rFonts w:cs="TimesNewRomanPSMT"/>
          <w:b/>
          <w:sz w:val="20"/>
          <w:szCs w:val="20"/>
          <w:lang w:val="fr-CH"/>
        </w:rPr>
        <w:t> »</w:t>
      </w:r>
      <w:r w:rsidR="00701885" w:rsidRPr="00DA46DA">
        <w:rPr>
          <w:rFonts w:cs="TimesNewRomanPSMT"/>
          <w:sz w:val="20"/>
          <w:szCs w:val="20"/>
          <w:lang w:val="fr-CH"/>
        </w:rPr>
        <w:t xml:space="preserve"> </w:t>
      </w:r>
      <w:r w:rsidR="00DA46DA" w:rsidRPr="00DA46DA">
        <w:rPr>
          <w:rFonts w:cs="TimesNewRomanPSMT"/>
          <w:sz w:val="20"/>
          <w:szCs w:val="20"/>
          <w:lang w:val="fr-CH"/>
        </w:rPr>
        <w:t xml:space="preserve"> </w:t>
      </w:r>
      <w:r w:rsidR="00701885" w:rsidRPr="00DA46DA">
        <w:rPr>
          <w:rFonts w:cs="TimesNewRomanPSMT"/>
          <w:sz w:val="20"/>
          <w:szCs w:val="20"/>
          <w:lang w:val="fr-CH"/>
        </w:rPr>
        <w:t xml:space="preserve">; </w:t>
      </w:r>
      <w:r w:rsidR="00DA46DA" w:rsidRPr="00DA46DA">
        <w:rPr>
          <w:rFonts w:cs="TimesNewRomanPSMT"/>
          <w:sz w:val="20"/>
          <w:szCs w:val="20"/>
          <w:lang w:val="fr-CH"/>
        </w:rPr>
        <w:t>la politique du</w:t>
      </w:r>
      <w:r w:rsidR="00701885" w:rsidRPr="00DA46DA">
        <w:rPr>
          <w:rFonts w:cs="TimesNewRomanPSMT"/>
          <w:sz w:val="20"/>
          <w:szCs w:val="20"/>
          <w:lang w:val="fr-CH"/>
        </w:rPr>
        <w:t xml:space="preserve"> gouvernement central de négocier la responsabilité la plus large possible de la gestion des ressources naturelles par les populations autonomes et leurs institutions</w:t>
      </w:r>
      <w:r w:rsidR="00DA46DA" w:rsidRPr="00DA46DA">
        <w:rPr>
          <w:rFonts w:cs="TimesNewRomanPSMT"/>
          <w:sz w:val="20"/>
          <w:szCs w:val="20"/>
          <w:lang w:val="fr-CH"/>
        </w:rPr>
        <w:t>.</w:t>
      </w:r>
    </w:p>
    <w:p w:rsidR="003250F5" w:rsidRPr="003250F5" w:rsidRDefault="00701885" w:rsidP="005E19E1">
      <w:pPr>
        <w:pStyle w:val="ListParagraph"/>
        <w:numPr>
          <w:ilvl w:val="0"/>
          <w:numId w:val="25"/>
        </w:numPr>
        <w:pBdr>
          <w:top w:val="nil"/>
          <w:left w:val="nil"/>
          <w:bottom w:val="nil"/>
          <w:right w:val="nil"/>
          <w:between w:val="nil"/>
          <w:bar w:val="nil"/>
        </w:pBdr>
        <w:autoSpaceDE w:val="0"/>
        <w:autoSpaceDN w:val="0"/>
        <w:adjustRightInd w:val="0"/>
        <w:spacing w:after="0" w:line="240" w:lineRule="auto"/>
        <w:jc w:val="both"/>
        <w:rPr>
          <w:rFonts w:cs="Arial"/>
          <w:color w:val="000000" w:themeColor="text1"/>
          <w:sz w:val="20"/>
          <w:szCs w:val="20"/>
          <w:lang w:val="fr-CH"/>
        </w:rPr>
      </w:pPr>
      <w:r w:rsidRPr="00DA46DA">
        <w:rPr>
          <w:rFonts w:cs="TimesNewRomanPSMT"/>
          <w:sz w:val="20"/>
          <w:szCs w:val="20"/>
          <w:lang w:val="fr-CH"/>
        </w:rPr>
        <w:t xml:space="preserve">Une </w:t>
      </w:r>
      <w:r w:rsidRPr="00DA46DA">
        <w:rPr>
          <w:rFonts w:cs="TimesNewRomanPSMT"/>
          <w:b/>
          <w:sz w:val="20"/>
          <w:szCs w:val="20"/>
          <w:lang w:val="fr-CH"/>
        </w:rPr>
        <w:t>autonomie bien négociée</w:t>
      </w:r>
      <w:r w:rsidRPr="00DA46DA">
        <w:rPr>
          <w:rFonts w:cs="TimesNewRomanPSMT"/>
          <w:sz w:val="20"/>
          <w:szCs w:val="20"/>
          <w:lang w:val="fr-CH"/>
        </w:rPr>
        <w:t xml:space="preserve"> est la meilleure réponse et le cadre idéal pour consolider la paix, l'unité et le développement</w:t>
      </w:r>
      <w:r w:rsidR="00DA46DA">
        <w:rPr>
          <w:rFonts w:cs="TimesNewRomanPSMT"/>
          <w:sz w:val="20"/>
          <w:szCs w:val="20"/>
          <w:lang w:val="fr-CH"/>
        </w:rPr>
        <w:t xml:space="preserve"> (comme pour le Groenland). L’avenir de la région autonome dépend d’</w:t>
      </w:r>
      <w:r w:rsidRPr="00DA46DA">
        <w:rPr>
          <w:rFonts w:cs="TimesNewRomanPSMT"/>
          <w:sz w:val="20"/>
          <w:szCs w:val="20"/>
          <w:lang w:val="fr-CH"/>
        </w:rPr>
        <w:t>un développement économique et culturel important permettant de tirer le plus grand parti, et de façon durable, des ressources disponibles, dans le cadre d'un processus pacifique.</w:t>
      </w:r>
    </w:p>
    <w:p w:rsidR="00701885" w:rsidRPr="003250F5" w:rsidRDefault="003250F5" w:rsidP="005E19E1">
      <w:pPr>
        <w:pStyle w:val="ListParagraph"/>
        <w:numPr>
          <w:ilvl w:val="0"/>
          <w:numId w:val="25"/>
        </w:numPr>
        <w:pBdr>
          <w:top w:val="nil"/>
          <w:left w:val="nil"/>
          <w:bottom w:val="nil"/>
          <w:right w:val="nil"/>
          <w:between w:val="nil"/>
          <w:bar w:val="nil"/>
        </w:pBdr>
        <w:autoSpaceDE w:val="0"/>
        <w:autoSpaceDN w:val="0"/>
        <w:adjustRightInd w:val="0"/>
        <w:spacing w:after="0" w:line="240" w:lineRule="auto"/>
        <w:jc w:val="both"/>
        <w:rPr>
          <w:rFonts w:cs="Arial"/>
          <w:color w:val="000000" w:themeColor="text1"/>
          <w:sz w:val="20"/>
          <w:szCs w:val="20"/>
          <w:lang w:val="fr-CH"/>
        </w:rPr>
      </w:pPr>
      <w:r w:rsidRPr="003250F5">
        <w:rPr>
          <w:rFonts w:cs="TimesNewRomanPSMT"/>
          <w:sz w:val="20"/>
          <w:szCs w:val="20"/>
          <w:lang w:val="fr-CH"/>
        </w:rPr>
        <w:t xml:space="preserve">Les recommandations </w:t>
      </w:r>
      <w:r w:rsidR="00847DD0">
        <w:rPr>
          <w:rFonts w:cs="TimesNewRomanPSMT"/>
          <w:sz w:val="20"/>
          <w:szCs w:val="20"/>
          <w:lang w:val="fr-CH"/>
        </w:rPr>
        <w:t xml:space="preserve">tirées du cas d’Aceh </w:t>
      </w:r>
      <w:r w:rsidRPr="003250F5">
        <w:rPr>
          <w:rFonts w:cs="TimesNewRomanPSMT"/>
          <w:sz w:val="20"/>
          <w:szCs w:val="20"/>
          <w:lang w:val="fr-CH"/>
        </w:rPr>
        <w:t>incluent</w:t>
      </w:r>
      <w:r w:rsidR="00701885" w:rsidRPr="003250F5">
        <w:rPr>
          <w:rFonts w:cs="Arial"/>
          <w:color w:val="000000" w:themeColor="text1"/>
          <w:sz w:val="20"/>
          <w:szCs w:val="20"/>
          <w:lang w:val="fr-CH"/>
        </w:rPr>
        <w:t xml:space="preserve"> </w:t>
      </w:r>
      <w:r w:rsidRPr="003250F5">
        <w:rPr>
          <w:rFonts w:cs="Arial"/>
          <w:color w:val="000000" w:themeColor="text1"/>
          <w:sz w:val="20"/>
          <w:szCs w:val="20"/>
          <w:lang w:val="fr-CH"/>
        </w:rPr>
        <w:t>les suivantes </w:t>
      </w:r>
      <w:r w:rsidRPr="00847DD0">
        <w:rPr>
          <w:rFonts w:cs="Arial"/>
          <w:b/>
          <w:color w:val="000000" w:themeColor="text1"/>
          <w:sz w:val="20"/>
          <w:szCs w:val="20"/>
          <w:lang w:val="fr-CH"/>
        </w:rPr>
        <w:t xml:space="preserve">: </w:t>
      </w:r>
      <w:r w:rsidRPr="00847DD0">
        <w:rPr>
          <w:rFonts w:cs="TimesNewRomanPSMT"/>
          <w:b/>
          <w:sz w:val="20"/>
          <w:szCs w:val="20"/>
          <w:lang w:val="fr-CH"/>
        </w:rPr>
        <w:t>d</w:t>
      </w:r>
      <w:r w:rsidR="00701885" w:rsidRPr="00847DD0">
        <w:rPr>
          <w:rFonts w:cs="TimesNewRomanPS-BoldMT"/>
          <w:b/>
          <w:bCs/>
          <w:sz w:val="20"/>
          <w:szCs w:val="20"/>
          <w:lang w:val="fr-CH"/>
        </w:rPr>
        <w:t>éfinir clairement ce qui est partagé</w:t>
      </w:r>
      <w:r w:rsidR="00701885" w:rsidRPr="003250F5">
        <w:rPr>
          <w:rFonts w:cs="TimesNewRomanPS-BoldMT"/>
          <w:bCs/>
          <w:sz w:val="20"/>
          <w:szCs w:val="20"/>
          <w:lang w:val="fr-CH"/>
        </w:rPr>
        <w:t>, et comment</w:t>
      </w:r>
      <w:r w:rsidRPr="003250F5">
        <w:rPr>
          <w:rFonts w:cs="TimesNewRomanPS-BoldMT"/>
          <w:bCs/>
          <w:sz w:val="20"/>
          <w:szCs w:val="20"/>
          <w:lang w:val="fr-CH"/>
        </w:rPr>
        <w:t> </w:t>
      </w:r>
      <w:r w:rsidRPr="003250F5">
        <w:rPr>
          <w:rFonts w:cs="TimesNewRomanPSMT"/>
          <w:sz w:val="20"/>
          <w:szCs w:val="20"/>
          <w:lang w:val="fr-CH"/>
        </w:rPr>
        <w:t>; f</w:t>
      </w:r>
      <w:r w:rsidR="00701885" w:rsidRPr="003250F5">
        <w:rPr>
          <w:rFonts w:cs="TimesNewRomanPS-BoldMT"/>
          <w:bCs/>
          <w:sz w:val="20"/>
          <w:szCs w:val="20"/>
          <w:lang w:val="fr-CH"/>
        </w:rPr>
        <w:t xml:space="preserve">aire en sorte que </w:t>
      </w:r>
      <w:r w:rsidR="00701885" w:rsidRPr="00847DD0">
        <w:rPr>
          <w:rFonts w:cs="TimesNewRomanPS-BoldMT"/>
          <w:b/>
          <w:bCs/>
          <w:sz w:val="20"/>
          <w:szCs w:val="20"/>
          <w:lang w:val="fr-CH"/>
        </w:rPr>
        <w:t>les négociations soient suffisamment souples</w:t>
      </w:r>
      <w:r w:rsidR="00701885" w:rsidRPr="003250F5">
        <w:rPr>
          <w:rFonts w:cs="TimesNewRomanPS-BoldMT"/>
          <w:bCs/>
          <w:sz w:val="20"/>
          <w:szCs w:val="20"/>
          <w:lang w:val="fr-CH"/>
        </w:rPr>
        <w:t xml:space="preserve"> afin, si nécessaire, de laisser en suspens la question de l'appropriation des ressources et permettre ainsi d'avancer ultérieurement sur la question du partage des recettes</w:t>
      </w:r>
      <w:r w:rsidRPr="003250F5">
        <w:rPr>
          <w:rFonts w:cs="TimesNewRomanPS-BoldMT"/>
          <w:bCs/>
          <w:sz w:val="20"/>
          <w:szCs w:val="20"/>
          <w:lang w:val="fr-CH"/>
        </w:rPr>
        <w:t> </w:t>
      </w:r>
      <w:r w:rsidRPr="003250F5">
        <w:rPr>
          <w:rFonts w:cs="TimesNewRomanPSMT"/>
          <w:sz w:val="20"/>
          <w:szCs w:val="20"/>
          <w:lang w:val="fr-CH"/>
        </w:rPr>
        <w:t>; p</w:t>
      </w:r>
      <w:r w:rsidR="00701885" w:rsidRPr="003250F5">
        <w:rPr>
          <w:rFonts w:cs="TimesNewRomanPS-BoldMT"/>
          <w:bCs/>
          <w:sz w:val="20"/>
          <w:szCs w:val="20"/>
          <w:lang w:val="fr-CH"/>
        </w:rPr>
        <w:t xml:space="preserve">roduire des </w:t>
      </w:r>
      <w:r w:rsidR="00701885" w:rsidRPr="00847DD0">
        <w:rPr>
          <w:rFonts w:cs="TimesNewRomanPS-BoldMT"/>
          <w:b/>
          <w:bCs/>
          <w:sz w:val="20"/>
          <w:szCs w:val="20"/>
          <w:lang w:val="fr-CH"/>
        </w:rPr>
        <w:t>informations sur les richesses tirées des ressources naturelles</w:t>
      </w:r>
      <w:r w:rsidR="00701885" w:rsidRPr="003250F5">
        <w:rPr>
          <w:rFonts w:cs="TimesNewRomanPS-BoldMT"/>
          <w:bCs/>
          <w:sz w:val="20"/>
          <w:szCs w:val="20"/>
          <w:lang w:val="fr-CH"/>
        </w:rPr>
        <w:t xml:space="preserve"> pour aplanir les disparités et gérer les attentes</w:t>
      </w:r>
      <w:r>
        <w:rPr>
          <w:rFonts w:cs="TimesNewRomanPS-BoldMT"/>
          <w:bCs/>
          <w:sz w:val="20"/>
          <w:szCs w:val="20"/>
          <w:lang w:val="fr-CH"/>
        </w:rPr>
        <w:t> </w:t>
      </w:r>
      <w:r>
        <w:rPr>
          <w:rFonts w:cs="TimesNewRomanPSMT"/>
          <w:sz w:val="20"/>
          <w:szCs w:val="20"/>
          <w:lang w:val="fr-CH"/>
        </w:rPr>
        <w:t xml:space="preserve">; </w:t>
      </w:r>
      <w:r w:rsidRPr="003250F5">
        <w:rPr>
          <w:rFonts w:cs="TimesNewRomanPSMT"/>
          <w:sz w:val="20"/>
          <w:szCs w:val="20"/>
          <w:lang w:val="fr-CH"/>
        </w:rPr>
        <w:t>l</w:t>
      </w:r>
      <w:r w:rsidR="00701885" w:rsidRPr="003250F5">
        <w:rPr>
          <w:rFonts w:cs="TimesNewRomanPS-BoldMT"/>
          <w:bCs/>
          <w:sz w:val="20"/>
          <w:szCs w:val="20"/>
          <w:lang w:val="fr-CH"/>
        </w:rPr>
        <w:t xml:space="preserve">es négociations sur le partage des recettes peuvent </w:t>
      </w:r>
      <w:r w:rsidR="00701885" w:rsidRPr="00847DD0">
        <w:rPr>
          <w:rFonts w:cs="TimesNewRomanPS-BoldMT"/>
          <w:b/>
          <w:bCs/>
          <w:sz w:val="20"/>
          <w:szCs w:val="20"/>
          <w:lang w:val="fr-CH"/>
        </w:rPr>
        <w:t>modifier la relation entre les parties</w:t>
      </w:r>
      <w:r w:rsidR="00701885" w:rsidRPr="003250F5">
        <w:rPr>
          <w:rFonts w:cs="TimesNewRomanPS-BoldMT"/>
          <w:bCs/>
          <w:sz w:val="20"/>
          <w:szCs w:val="20"/>
          <w:lang w:val="fr-CH"/>
        </w:rPr>
        <w:t xml:space="preserve"> </w:t>
      </w:r>
      <w:r>
        <w:rPr>
          <w:rFonts w:cs="TimesNewRomanPSMT"/>
          <w:sz w:val="20"/>
          <w:szCs w:val="20"/>
          <w:lang w:val="fr-CH"/>
        </w:rPr>
        <w:t>et</w:t>
      </w:r>
      <w:r w:rsidR="00701885" w:rsidRPr="003250F5">
        <w:rPr>
          <w:rFonts w:cs="TimesNewRomanPSMT"/>
          <w:sz w:val="20"/>
          <w:szCs w:val="20"/>
          <w:lang w:val="fr-CH"/>
        </w:rPr>
        <w:t xml:space="preserve"> inciter à surmonter les animosités entre des groupes</w:t>
      </w:r>
      <w:r>
        <w:rPr>
          <w:rFonts w:cs="TimesNewRomanPSMT"/>
          <w:sz w:val="20"/>
          <w:szCs w:val="20"/>
          <w:lang w:val="fr-CH"/>
        </w:rPr>
        <w:t xml:space="preserve"> ; </w:t>
      </w:r>
      <w:r w:rsidRPr="003250F5">
        <w:rPr>
          <w:rFonts w:cs="TimesNewRomanPSMT"/>
          <w:sz w:val="20"/>
          <w:szCs w:val="20"/>
          <w:lang w:val="fr-CH"/>
        </w:rPr>
        <w:t>c</w:t>
      </w:r>
      <w:r w:rsidR="00701885" w:rsidRPr="003250F5">
        <w:rPr>
          <w:rFonts w:cs="TimesNewRomanPS-BoldMT"/>
          <w:bCs/>
          <w:sz w:val="20"/>
          <w:szCs w:val="20"/>
          <w:lang w:val="fr-CH"/>
        </w:rPr>
        <w:t xml:space="preserve">onclure </w:t>
      </w:r>
      <w:r w:rsidR="00701885" w:rsidRPr="00847DD0">
        <w:rPr>
          <w:rFonts w:cs="Arial"/>
          <w:sz w:val="20"/>
          <w:szCs w:val="20"/>
          <w:lang w:val="fr-CH"/>
        </w:rPr>
        <w:t>un accord</w:t>
      </w:r>
      <w:r w:rsidR="00701885" w:rsidRPr="003250F5">
        <w:rPr>
          <w:rFonts w:cs="TimesNewRomanPS-BoldMT"/>
          <w:bCs/>
          <w:sz w:val="20"/>
          <w:szCs w:val="20"/>
          <w:lang w:val="fr-CH"/>
        </w:rPr>
        <w:t xml:space="preserve"> de qualité sur le partage des recettes ne garantit pas </w:t>
      </w:r>
      <w:r w:rsidR="00701885" w:rsidRPr="00847DD0">
        <w:rPr>
          <w:rFonts w:cs="TimesNewRomanPS-BoldMT"/>
          <w:b/>
          <w:bCs/>
          <w:sz w:val="20"/>
          <w:szCs w:val="20"/>
          <w:lang w:val="fr-CH"/>
        </w:rPr>
        <w:t>la reprise économique post-conflit</w:t>
      </w:r>
      <w:r w:rsidR="00701885" w:rsidRPr="003250F5">
        <w:rPr>
          <w:rFonts w:cs="TimesNewRomanPSMT"/>
          <w:sz w:val="20"/>
          <w:szCs w:val="20"/>
          <w:lang w:val="fr-CH"/>
        </w:rPr>
        <w:t>.</w:t>
      </w:r>
      <w:r w:rsidR="00701885" w:rsidRPr="003250F5">
        <w:rPr>
          <w:rFonts w:cs="Arial"/>
          <w:color w:val="000000" w:themeColor="text1"/>
          <w:sz w:val="20"/>
          <w:szCs w:val="20"/>
          <w:lang w:val="fr-CH"/>
        </w:rPr>
        <w:t xml:space="preserve"> </w:t>
      </w:r>
    </w:p>
    <w:p w:rsidR="00701885" w:rsidRPr="00847DD0" w:rsidRDefault="00CF261F" w:rsidP="00CF261F">
      <w:pPr>
        <w:pBdr>
          <w:top w:val="nil"/>
          <w:left w:val="nil"/>
          <w:bottom w:val="nil"/>
          <w:right w:val="nil"/>
          <w:between w:val="nil"/>
          <w:bar w:val="nil"/>
        </w:pBdr>
        <w:spacing w:after="0" w:line="240" w:lineRule="auto"/>
        <w:jc w:val="both"/>
        <w:rPr>
          <w:rFonts w:cs="Arial"/>
          <w:sz w:val="20"/>
          <w:szCs w:val="20"/>
          <w:lang w:val="fr-CH"/>
        </w:rPr>
      </w:pPr>
      <w:r w:rsidRPr="00847DD0">
        <w:rPr>
          <w:rFonts w:ascii="Garamond" w:hAnsi="Garamond"/>
          <w:sz w:val="24"/>
          <w:szCs w:val="24"/>
          <w:lang w:val="fr-CH"/>
        </w:rPr>
        <w:lastRenderedPageBreak/>
        <w:t xml:space="preserve"> </w:t>
      </w:r>
    </w:p>
    <w:p w:rsidR="00701885" w:rsidRDefault="00847DD0" w:rsidP="00D97333">
      <w:pPr>
        <w:pBdr>
          <w:top w:val="nil"/>
          <w:left w:val="nil"/>
          <w:bottom w:val="nil"/>
          <w:right w:val="nil"/>
          <w:between w:val="nil"/>
          <w:bar w:val="nil"/>
        </w:pBdr>
        <w:spacing w:after="0" w:line="240" w:lineRule="auto"/>
        <w:jc w:val="both"/>
        <w:rPr>
          <w:rFonts w:cs="Arial"/>
          <w:color w:val="000000" w:themeColor="text1"/>
          <w:sz w:val="20"/>
          <w:szCs w:val="20"/>
          <w:lang w:val="fr-CH"/>
        </w:rPr>
      </w:pPr>
      <w:r>
        <w:rPr>
          <w:rFonts w:cs="Arial"/>
          <w:color w:val="000000" w:themeColor="text1"/>
          <w:sz w:val="20"/>
          <w:szCs w:val="20"/>
          <w:lang w:val="fr-CH"/>
        </w:rPr>
        <w:t xml:space="preserve">4) </w:t>
      </w:r>
      <w:r w:rsidR="00701885" w:rsidRPr="00D97333">
        <w:rPr>
          <w:rFonts w:cs="Arial"/>
          <w:color w:val="000000" w:themeColor="text1"/>
          <w:sz w:val="20"/>
          <w:szCs w:val="20"/>
          <w:lang w:val="fr-CH"/>
        </w:rPr>
        <w:t xml:space="preserve">Le </w:t>
      </w:r>
      <w:r w:rsidR="00701885" w:rsidRPr="00D97333">
        <w:rPr>
          <w:rFonts w:cs="Arial"/>
          <w:b/>
          <w:bCs/>
          <w:color w:val="000000" w:themeColor="text1"/>
          <w:sz w:val="20"/>
          <w:szCs w:val="20"/>
          <w:lang w:val="fr-CH"/>
        </w:rPr>
        <w:t>21 mars 2013</w:t>
      </w:r>
      <w:r w:rsidR="00701885" w:rsidRPr="00D97333">
        <w:rPr>
          <w:rFonts w:cs="Arial"/>
          <w:color w:val="000000" w:themeColor="text1"/>
          <w:sz w:val="20"/>
          <w:szCs w:val="20"/>
          <w:lang w:val="fr-CH"/>
        </w:rPr>
        <w:t xml:space="preserve"> à Genève sur « </w:t>
      </w:r>
      <w:r w:rsidR="00701885" w:rsidRPr="00847DD0">
        <w:rPr>
          <w:rFonts w:cs="Arial"/>
          <w:b/>
          <w:color w:val="000000" w:themeColor="text1"/>
          <w:sz w:val="20"/>
          <w:szCs w:val="20"/>
          <w:lang w:val="fr-CH"/>
        </w:rPr>
        <w:t>Représentativité et légitimité dans les négociations d’autonomie</w:t>
      </w:r>
      <w:r w:rsidR="00701885" w:rsidRPr="00D97333">
        <w:rPr>
          <w:rFonts w:cs="Arial"/>
          <w:color w:val="000000" w:themeColor="text1"/>
          <w:sz w:val="20"/>
          <w:szCs w:val="20"/>
          <w:lang w:val="fr-CH"/>
        </w:rPr>
        <w:t> »,</w:t>
      </w:r>
      <w:r>
        <w:rPr>
          <w:rFonts w:cs="Arial"/>
          <w:color w:val="000000" w:themeColor="text1"/>
          <w:sz w:val="20"/>
          <w:szCs w:val="20"/>
          <w:lang w:val="fr-CH"/>
        </w:rPr>
        <w:t xml:space="preserve"> avec l’examen des cas de l’Europe centrale, d’Aceh, et de la Nouvelle-Calédonie. Principales conclusions :</w:t>
      </w:r>
    </w:p>
    <w:p w:rsidR="00847DD0" w:rsidRDefault="004F05A1" w:rsidP="005E19E1">
      <w:pPr>
        <w:pStyle w:val="ListParagraph"/>
        <w:numPr>
          <w:ilvl w:val="0"/>
          <w:numId w:val="24"/>
        </w:numPr>
        <w:pBdr>
          <w:top w:val="nil"/>
          <w:left w:val="nil"/>
          <w:bottom w:val="nil"/>
          <w:right w:val="nil"/>
          <w:between w:val="nil"/>
          <w:bar w:val="nil"/>
        </w:pBdr>
        <w:spacing w:after="0" w:line="240" w:lineRule="auto"/>
        <w:jc w:val="both"/>
        <w:rPr>
          <w:rFonts w:cs="Arial"/>
          <w:sz w:val="20"/>
          <w:szCs w:val="20"/>
          <w:lang w:val="fr-CH"/>
        </w:rPr>
      </w:pPr>
      <w:r w:rsidRPr="00847DD0">
        <w:rPr>
          <w:rFonts w:cs="Arial"/>
          <w:sz w:val="20"/>
          <w:szCs w:val="20"/>
          <w:lang w:val="fr-CH"/>
        </w:rPr>
        <w:t xml:space="preserve">Au niveau de la </w:t>
      </w:r>
      <w:r w:rsidRPr="00847DD0">
        <w:rPr>
          <w:rFonts w:cs="Arial"/>
          <w:b/>
          <w:sz w:val="20"/>
          <w:szCs w:val="20"/>
          <w:lang w:val="fr-CH"/>
        </w:rPr>
        <w:t>représentativité et de la légitimité démocratiques</w:t>
      </w:r>
      <w:r w:rsidRPr="00847DD0">
        <w:rPr>
          <w:rFonts w:cs="Arial"/>
          <w:sz w:val="20"/>
          <w:szCs w:val="20"/>
          <w:lang w:val="fr-CH"/>
        </w:rPr>
        <w:t xml:space="preserve">, </w:t>
      </w:r>
      <w:r w:rsidR="00847DD0" w:rsidRPr="00847DD0">
        <w:rPr>
          <w:rFonts w:cs="Arial"/>
          <w:sz w:val="20"/>
          <w:szCs w:val="20"/>
          <w:lang w:val="fr-CH"/>
        </w:rPr>
        <w:t>l’Initiative marocaine va dans le bon sens, en s’appuyant notamment sur une</w:t>
      </w:r>
      <w:r w:rsidRPr="00847DD0">
        <w:rPr>
          <w:rFonts w:cs="Arial"/>
          <w:sz w:val="20"/>
          <w:szCs w:val="20"/>
          <w:lang w:val="fr-CH"/>
        </w:rPr>
        <w:t xml:space="preserve"> base territoriale de la revendication d’autodétermination et non pas sur une définition ethnique ou politico-idéologique.</w:t>
      </w:r>
    </w:p>
    <w:p w:rsidR="00847DD0" w:rsidRDefault="00847DD0" w:rsidP="005E19E1">
      <w:pPr>
        <w:pStyle w:val="ListParagraph"/>
        <w:numPr>
          <w:ilvl w:val="0"/>
          <w:numId w:val="24"/>
        </w:numPr>
        <w:pBdr>
          <w:top w:val="nil"/>
          <w:left w:val="nil"/>
          <w:bottom w:val="nil"/>
          <w:right w:val="nil"/>
          <w:between w:val="nil"/>
          <w:bar w:val="nil"/>
        </w:pBdr>
        <w:spacing w:after="0" w:line="240" w:lineRule="auto"/>
        <w:jc w:val="both"/>
        <w:rPr>
          <w:rFonts w:cs="Arial"/>
          <w:sz w:val="20"/>
          <w:szCs w:val="20"/>
          <w:lang w:val="fr-CH"/>
        </w:rPr>
      </w:pPr>
      <w:r w:rsidRPr="00847DD0">
        <w:rPr>
          <w:rFonts w:cs="Arial"/>
          <w:sz w:val="20"/>
          <w:szCs w:val="20"/>
          <w:lang w:val="fr-CH"/>
        </w:rPr>
        <w:t>L</w:t>
      </w:r>
      <w:r w:rsidR="004F05A1" w:rsidRPr="00847DD0">
        <w:rPr>
          <w:rFonts w:cs="Arial"/>
          <w:sz w:val="20"/>
          <w:szCs w:val="20"/>
          <w:lang w:val="fr-CH"/>
        </w:rPr>
        <w:t xml:space="preserve">a proposition d’autonomie </w:t>
      </w:r>
      <w:r w:rsidRPr="00847DD0">
        <w:rPr>
          <w:rFonts w:cs="Arial"/>
          <w:sz w:val="20"/>
          <w:szCs w:val="20"/>
          <w:lang w:val="fr-CH"/>
        </w:rPr>
        <w:t>constitue</w:t>
      </w:r>
      <w:r w:rsidR="004F05A1" w:rsidRPr="00847DD0">
        <w:rPr>
          <w:rFonts w:cs="Arial"/>
          <w:sz w:val="20"/>
          <w:szCs w:val="20"/>
          <w:lang w:val="fr-CH"/>
        </w:rPr>
        <w:t xml:space="preserve"> une voie pour dépasser le problème majeur et commun à nombre de conflits d’autodétermination, « </w:t>
      </w:r>
      <w:r w:rsidR="004F05A1" w:rsidRPr="009F4767">
        <w:rPr>
          <w:rFonts w:cs="Arial"/>
          <w:b/>
          <w:sz w:val="20"/>
          <w:szCs w:val="20"/>
          <w:lang w:val="fr-CH"/>
        </w:rPr>
        <w:t xml:space="preserve">qui est le </w:t>
      </w:r>
      <w:r w:rsidRPr="009F4767">
        <w:rPr>
          <w:rFonts w:cs="Arial"/>
          <w:b/>
          <w:sz w:val="20"/>
          <w:szCs w:val="20"/>
          <w:lang w:val="fr-CH"/>
        </w:rPr>
        <w:t>p</w:t>
      </w:r>
      <w:r w:rsidR="004F05A1" w:rsidRPr="009F4767">
        <w:rPr>
          <w:rFonts w:cs="Arial"/>
          <w:b/>
          <w:sz w:val="20"/>
          <w:szCs w:val="20"/>
          <w:lang w:val="fr-CH"/>
        </w:rPr>
        <w:t>euple</w:t>
      </w:r>
      <w:r w:rsidR="004F05A1" w:rsidRPr="00847DD0">
        <w:rPr>
          <w:rFonts w:cs="Arial"/>
          <w:sz w:val="20"/>
          <w:szCs w:val="20"/>
          <w:lang w:val="fr-CH"/>
        </w:rPr>
        <w:t> ? »</w:t>
      </w:r>
    </w:p>
    <w:p w:rsidR="00847DD0" w:rsidRDefault="00847DD0" w:rsidP="005E19E1">
      <w:pPr>
        <w:pStyle w:val="ListParagraph"/>
        <w:numPr>
          <w:ilvl w:val="0"/>
          <w:numId w:val="24"/>
        </w:numPr>
        <w:pBdr>
          <w:top w:val="nil"/>
          <w:left w:val="nil"/>
          <w:bottom w:val="nil"/>
          <w:right w:val="nil"/>
          <w:between w:val="nil"/>
          <w:bar w:val="nil"/>
        </w:pBdr>
        <w:spacing w:after="0" w:line="240" w:lineRule="auto"/>
        <w:jc w:val="both"/>
        <w:rPr>
          <w:rFonts w:cs="Arial"/>
          <w:sz w:val="20"/>
          <w:szCs w:val="20"/>
          <w:lang w:val="fr-CH"/>
        </w:rPr>
      </w:pPr>
      <w:r w:rsidRPr="00847DD0">
        <w:rPr>
          <w:rFonts w:cs="Arial"/>
          <w:sz w:val="20"/>
          <w:szCs w:val="20"/>
          <w:lang w:val="fr-CH"/>
        </w:rPr>
        <w:t>L</w:t>
      </w:r>
      <w:r w:rsidR="004F05A1" w:rsidRPr="00847DD0">
        <w:rPr>
          <w:rFonts w:cs="Arial"/>
          <w:sz w:val="20"/>
          <w:szCs w:val="20"/>
          <w:lang w:val="fr-CH"/>
        </w:rPr>
        <w:t xml:space="preserve">a négociation </w:t>
      </w:r>
      <w:r w:rsidRPr="00847DD0">
        <w:rPr>
          <w:rFonts w:cs="Arial"/>
          <w:sz w:val="20"/>
          <w:szCs w:val="20"/>
          <w:lang w:val="fr-CH"/>
        </w:rPr>
        <w:t>sur</w:t>
      </w:r>
      <w:r w:rsidR="004F05A1" w:rsidRPr="00847DD0">
        <w:rPr>
          <w:rFonts w:cs="Arial"/>
          <w:sz w:val="20"/>
          <w:szCs w:val="20"/>
          <w:lang w:val="fr-CH"/>
        </w:rPr>
        <w:t xml:space="preserve"> l’autodétermination</w:t>
      </w:r>
      <w:r w:rsidRPr="00847DD0">
        <w:rPr>
          <w:rFonts w:cs="Arial"/>
          <w:sz w:val="20"/>
          <w:szCs w:val="20"/>
          <w:lang w:val="fr-CH"/>
        </w:rPr>
        <w:t xml:space="preserve"> exige</w:t>
      </w:r>
      <w:r w:rsidR="004F05A1" w:rsidRPr="00847DD0">
        <w:rPr>
          <w:rFonts w:cs="Arial"/>
          <w:sz w:val="20"/>
          <w:szCs w:val="20"/>
          <w:lang w:val="fr-CH"/>
        </w:rPr>
        <w:t xml:space="preserve"> d’utiliser le </w:t>
      </w:r>
      <w:r w:rsidR="004F05A1" w:rsidRPr="009F4767">
        <w:rPr>
          <w:rFonts w:cs="Arial"/>
          <w:b/>
          <w:sz w:val="20"/>
          <w:szCs w:val="20"/>
          <w:lang w:val="fr-CH"/>
        </w:rPr>
        <w:t>« bon sens</w:t>
      </w:r>
      <w:r w:rsidR="004F05A1" w:rsidRPr="00847DD0">
        <w:rPr>
          <w:rFonts w:cs="Arial"/>
          <w:sz w:val="20"/>
          <w:szCs w:val="20"/>
          <w:lang w:val="fr-CH"/>
        </w:rPr>
        <w:t> »</w:t>
      </w:r>
      <w:r w:rsidRPr="00847DD0">
        <w:rPr>
          <w:rFonts w:cs="Arial"/>
          <w:sz w:val="20"/>
          <w:szCs w:val="20"/>
          <w:lang w:val="fr-CH"/>
        </w:rPr>
        <w:t xml:space="preserve"> et </w:t>
      </w:r>
      <w:r w:rsidR="009F4767">
        <w:rPr>
          <w:rFonts w:cs="Arial"/>
          <w:sz w:val="20"/>
          <w:szCs w:val="20"/>
          <w:lang w:val="fr-CH"/>
        </w:rPr>
        <w:t xml:space="preserve">un </w:t>
      </w:r>
      <w:r w:rsidR="004F05A1" w:rsidRPr="00847DD0">
        <w:rPr>
          <w:rFonts w:cs="Arial"/>
          <w:sz w:val="20"/>
          <w:szCs w:val="20"/>
          <w:lang w:val="fr-CH"/>
        </w:rPr>
        <w:t xml:space="preserve">état d’esprit nécessaire </w:t>
      </w:r>
      <w:r w:rsidRPr="00847DD0">
        <w:rPr>
          <w:rFonts w:cs="Arial"/>
          <w:sz w:val="20"/>
          <w:szCs w:val="20"/>
          <w:lang w:val="fr-CH"/>
        </w:rPr>
        <w:t xml:space="preserve">au succès : </w:t>
      </w:r>
      <w:r w:rsidR="004F05A1" w:rsidRPr="00847DD0">
        <w:rPr>
          <w:rFonts w:cs="Arial"/>
          <w:sz w:val="20"/>
          <w:szCs w:val="20"/>
          <w:lang w:val="fr-CH"/>
        </w:rPr>
        <w:t xml:space="preserve">les parties doivent réaliser qu’il est davantage dans leur intérêt de négocier que de continuer à s’opposer. </w:t>
      </w:r>
    </w:p>
    <w:p w:rsidR="004F05A1" w:rsidRPr="00847DD0" w:rsidRDefault="004F05A1" w:rsidP="005E19E1">
      <w:pPr>
        <w:pStyle w:val="ListParagraph"/>
        <w:numPr>
          <w:ilvl w:val="0"/>
          <w:numId w:val="24"/>
        </w:numPr>
        <w:pBdr>
          <w:top w:val="nil"/>
          <w:left w:val="nil"/>
          <w:bottom w:val="nil"/>
          <w:right w:val="nil"/>
          <w:between w:val="nil"/>
          <w:bar w:val="nil"/>
        </w:pBdr>
        <w:spacing w:after="0" w:line="240" w:lineRule="auto"/>
        <w:jc w:val="both"/>
        <w:rPr>
          <w:rFonts w:cs="Arial"/>
          <w:sz w:val="20"/>
          <w:szCs w:val="20"/>
          <w:lang w:val="fr-CH"/>
        </w:rPr>
      </w:pPr>
      <w:r w:rsidRPr="00847DD0">
        <w:rPr>
          <w:rFonts w:cs="Arial"/>
          <w:sz w:val="20"/>
          <w:szCs w:val="20"/>
          <w:lang w:val="fr-CH"/>
        </w:rPr>
        <w:t xml:space="preserve">Enfin, il </w:t>
      </w:r>
      <w:r w:rsidR="009F4767">
        <w:rPr>
          <w:rFonts w:cs="Arial"/>
          <w:sz w:val="20"/>
          <w:szCs w:val="20"/>
          <w:lang w:val="fr-CH"/>
        </w:rPr>
        <w:t>faut</w:t>
      </w:r>
      <w:r w:rsidRPr="00847DD0">
        <w:rPr>
          <w:rFonts w:cs="Arial"/>
          <w:sz w:val="20"/>
          <w:szCs w:val="20"/>
          <w:lang w:val="fr-CH"/>
        </w:rPr>
        <w:t xml:space="preserve"> « </w:t>
      </w:r>
      <w:r w:rsidRPr="009F4767">
        <w:rPr>
          <w:rFonts w:cs="Arial"/>
          <w:b/>
          <w:sz w:val="20"/>
          <w:szCs w:val="20"/>
          <w:lang w:val="fr-CH"/>
        </w:rPr>
        <w:t>repenser l’autodétermination</w:t>
      </w:r>
      <w:r w:rsidRPr="00847DD0">
        <w:rPr>
          <w:rFonts w:cs="Arial"/>
          <w:sz w:val="20"/>
          <w:szCs w:val="20"/>
          <w:lang w:val="fr-CH"/>
        </w:rPr>
        <w:t> » : la très grande variété de formes d’États, mais aussi du contenu possible des autonomies</w:t>
      </w:r>
      <w:r w:rsidR="009F4767">
        <w:rPr>
          <w:rFonts w:cs="Arial"/>
          <w:sz w:val="20"/>
          <w:szCs w:val="20"/>
          <w:lang w:val="fr-CH"/>
        </w:rPr>
        <w:t xml:space="preserve"> impose de</w:t>
      </w:r>
      <w:r w:rsidRPr="00847DD0">
        <w:rPr>
          <w:rFonts w:cs="Arial"/>
          <w:sz w:val="20"/>
          <w:szCs w:val="20"/>
          <w:lang w:val="fr-CH"/>
        </w:rPr>
        <w:t xml:space="preserve"> faire preuve d’innovation</w:t>
      </w:r>
      <w:r w:rsidR="009F4767">
        <w:rPr>
          <w:rFonts w:cs="Arial"/>
          <w:sz w:val="20"/>
          <w:szCs w:val="20"/>
          <w:lang w:val="fr-CH"/>
        </w:rPr>
        <w:t>.</w:t>
      </w:r>
    </w:p>
    <w:p w:rsidR="00701885" w:rsidRPr="00D97333" w:rsidRDefault="00701885" w:rsidP="00D97333">
      <w:pPr>
        <w:pBdr>
          <w:top w:val="nil"/>
          <w:left w:val="nil"/>
          <w:bottom w:val="nil"/>
          <w:right w:val="nil"/>
          <w:between w:val="nil"/>
          <w:bar w:val="nil"/>
        </w:pBdr>
        <w:spacing w:after="0" w:line="240" w:lineRule="auto"/>
        <w:jc w:val="both"/>
        <w:rPr>
          <w:rFonts w:eastAsia="Arial" w:cs="Arial"/>
          <w:color w:val="000000" w:themeColor="text1"/>
          <w:sz w:val="20"/>
          <w:szCs w:val="20"/>
          <w:lang w:val="fr-CH"/>
        </w:rPr>
      </w:pPr>
    </w:p>
    <w:p w:rsidR="00701885" w:rsidRDefault="009F4767" w:rsidP="00D97333">
      <w:pPr>
        <w:pBdr>
          <w:top w:val="nil"/>
          <w:left w:val="nil"/>
          <w:bottom w:val="nil"/>
          <w:right w:val="nil"/>
          <w:between w:val="nil"/>
          <w:bar w:val="nil"/>
        </w:pBdr>
        <w:spacing w:after="0" w:line="240" w:lineRule="auto"/>
        <w:jc w:val="both"/>
        <w:rPr>
          <w:rFonts w:cs="Arial"/>
          <w:color w:val="000000" w:themeColor="text1"/>
          <w:sz w:val="20"/>
          <w:szCs w:val="20"/>
          <w:lang w:val="fr-CH"/>
        </w:rPr>
      </w:pPr>
      <w:r>
        <w:rPr>
          <w:rFonts w:cs="Arial"/>
          <w:color w:val="000000" w:themeColor="text1"/>
          <w:sz w:val="20"/>
          <w:szCs w:val="20"/>
          <w:lang w:val="fr-CH"/>
        </w:rPr>
        <w:t xml:space="preserve">5) </w:t>
      </w:r>
      <w:r w:rsidR="00701885" w:rsidRPr="00D97333">
        <w:rPr>
          <w:rFonts w:cs="Arial"/>
          <w:color w:val="000000" w:themeColor="text1"/>
          <w:sz w:val="20"/>
          <w:szCs w:val="20"/>
          <w:lang w:val="fr-CH"/>
        </w:rPr>
        <w:t xml:space="preserve">Le </w:t>
      </w:r>
      <w:r w:rsidR="00701885" w:rsidRPr="00D97333">
        <w:rPr>
          <w:rFonts w:cs="Arial"/>
          <w:b/>
          <w:bCs/>
          <w:color w:val="000000" w:themeColor="text1"/>
          <w:sz w:val="20"/>
          <w:szCs w:val="20"/>
          <w:lang w:val="fr-CH"/>
        </w:rPr>
        <w:t>1</w:t>
      </w:r>
      <w:r w:rsidR="00701885" w:rsidRPr="00D97333">
        <w:rPr>
          <w:rFonts w:cs="Arial"/>
          <w:b/>
          <w:bCs/>
          <w:color w:val="000000" w:themeColor="text1"/>
          <w:sz w:val="20"/>
          <w:szCs w:val="20"/>
          <w:vertAlign w:val="superscript"/>
          <w:lang w:val="fr-CH"/>
        </w:rPr>
        <w:t>er</w:t>
      </w:r>
      <w:r w:rsidR="00701885" w:rsidRPr="00D97333">
        <w:rPr>
          <w:rFonts w:cs="Arial"/>
          <w:b/>
          <w:bCs/>
          <w:color w:val="000000" w:themeColor="text1"/>
          <w:sz w:val="20"/>
          <w:szCs w:val="20"/>
          <w:lang w:val="fr-CH"/>
        </w:rPr>
        <w:t xml:space="preserve"> juillet 2013</w:t>
      </w:r>
      <w:r w:rsidR="00701885" w:rsidRPr="00D97333">
        <w:rPr>
          <w:rFonts w:cs="Arial"/>
          <w:color w:val="000000" w:themeColor="text1"/>
          <w:sz w:val="20"/>
          <w:szCs w:val="20"/>
          <w:lang w:val="fr-CH"/>
        </w:rPr>
        <w:t xml:space="preserve"> à Genève sur « </w:t>
      </w:r>
      <w:r w:rsidR="00701885" w:rsidRPr="009F4767">
        <w:rPr>
          <w:rFonts w:cs="Arial"/>
          <w:b/>
          <w:color w:val="000000" w:themeColor="text1"/>
          <w:sz w:val="20"/>
          <w:szCs w:val="20"/>
          <w:lang w:val="fr-CH"/>
        </w:rPr>
        <w:t>Statuts d’autonomie et régionalisation : solidarité et péréquation entre régions</w:t>
      </w:r>
      <w:r w:rsidR="00701885" w:rsidRPr="00D97333">
        <w:rPr>
          <w:rFonts w:cs="Arial"/>
          <w:color w:val="000000" w:themeColor="text1"/>
          <w:sz w:val="20"/>
          <w:szCs w:val="20"/>
          <w:lang w:val="fr-CH"/>
        </w:rPr>
        <w:t xml:space="preserve"> », </w:t>
      </w:r>
      <w:r>
        <w:rPr>
          <w:rFonts w:cs="Arial"/>
          <w:color w:val="000000" w:themeColor="text1"/>
          <w:sz w:val="20"/>
          <w:szCs w:val="20"/>
          <w:lang w:val="fr-CH"/>
        </w:rPr>
        <w:t>avec l’étude des exemples de l’Espagne, de la France, des pays membres du Conseil de l’Europe, et du Canada. Les conclusions tirées ont été les suivantes :</w:t>
      </w:r>
    </w:p>
    <w:p w:rsidR="005E0471" w:rsidRPr="005E0471" w:rsidRDefault="009F4767" w:rsidP="005E19E1">
      <w:pPr>
        <w:pStyle w:val="ListParagraph"/>
        <w:numPr>
          <w:ilvl w:val="0"/>
          <w:numId w:val="23"/>
        </w:numPr>
        <w:pBdr>
          <w:top w:val="nil"/>
          <w:left w:val="nil"/>
          <w:bottom w:val="nil"/>
          <w:right w:val="nil"/>
          <w:between w:val="nil"/>
          <w:bar w:val="nil"/>
        </w:pBdr>
        <w:spacing w:after="0" w:line="240" w:lineRule="auto"/>
        <w:jc w:val="both"/>
        <w:rPr>
          <w:rFonts w:cs="Arial"/>
          <w:sz w:val="20"/>
          <w:szCs w:val="20"/>
          <w:lang w:val="fr-CH"/>
        </w:rPr>
      </w:pPr>
      <w:r>
        <w:rPr>
          <w:rFonts w:cs="Arial"/>
          <w:color w:val="000000" w:themeColor="text1"/>
          <w:sz w:val="20"/>
          <w:szCs w:val="20"/>
          <w:lang w:val="fr-CH"/>
        </w:rPr>
        <w:t xml:space="preserve">Les régions autonomes devraient bénéficier, en matière de fiscalité, d’une </w:t>
      </w:r>
      <w:r w:rsidRPr="005E0471">
        <w:rPr>
          <w:rFonts w:cs="Arial"/>
          <w:b/>
          <w:color w:val="000000" w:themeColor="text1"/>
          <w:sz w:val="20"/>
          <w:szCs w:val="20"/>
          <w:lang w:val="fr-CH"/>
        </w:rPr>
        <w:t>autorité suffisante et pleinement transparente</w:t>
      </w:r>
      <w:r>
        <w:rPr>
          <w:rFonts w:cs="Arial"/>
          <w:color w:val="000000" w:themeColor="text1"/>
          <w:sz w:val="20"/>
          <w:szCs w:val="20"/>
          <w:lang w:val="fr-CH"/>
        </w:rPr>
        <w:t>, soumise au contrôle démocratique</w:t>
      </w:r>
      <w:r w:rsidRPr="009F4767">
        <w:rPr>
          <w:rFonts w:cs="Arial"/>
          <w:sz w:val="20"/>
          <w:szCs w:val="20"/>
          <w:lang w:val="fr-CH"/>
        </w:rPr>
        <w:t>, et</w:t>
      </w:r>
      <w:r>
        <w:rPr>
          <w:rFonts w:cs="Arial"/>
          <w:sz w:val="20"/>
          <w:szCs w:val="20"/>
          <w:lang w:val="fr-CH"/>
        </w:rPr>
        <w:t xml:space="preserve"> dont l’impact doit être régulièrement réévalué en fonction de l’évolution des conditions économiques tant de la région que de l’Etat </w:t>
      </w:r>
      <w:r w:rsidRPr="005E0471">
        <w:rPr>
          <w:rFonts w:cs="Arial"/>
          <w:sz w:val="20"/>
          <w:szCs w:val="20"/>
          <w:lang w:val="fr-CH"/>
        </w:rPr>
        <w:t>central</w:t>
      </w:r>
      <w:r w:rsidR="005E0471" w:rsidRPr="005E0471">
        <w:rPr>
          <w:rFonts w:cs="Arial"/>
          <w:sz w:val="20"/>
          <w:szCs w:val="20"/>
          <w:lang w:val="fr-CH"/>
        </w:rPr>
        <w:t> ;</w:t>
      </w:r>
    </w:p>
    <w:p w:rsidR="005E0471" w:rsidRPr="005E0471" w:rsidRDefault="005E0471" w:rsidP="005E19E1">
      <w:pPr>
        <w:pStyle w:val="ListParagraph"/>
        <w:numPr>
          <w:ilvl w:val="0"/>
          <w:numId w:val="23"/>
        </w:numPr>
        <w:pBdr>
          <w:top w:val="nil"/>
          <w:left w:val="nil"/>
          <w:bottom w:val="nil"/>
          <w:right w:val="nil"/>
          <w:between w:val="nil"/>
          <w:bar w:val="nil"/>
        </w:pBdr>
        <w:spacing w:after="0" w:line="240" w:lineRule="auto"/>
        <w:jc w:val="both"/>
        <w:rPr>
          <w:rFonts w:cs="Arial"/>
          <w:sz w:val="20"/>
          <w:szCs w:val="20"/>
          <w:lang w:val="fr-CH"/>
        </w:rPr>
      </w:pPr>
      <w:r w:rsidRPr="005E0471">
        <w:rPr>
          <w:rFonts w:cs="Arial"/>
          <w:sz w:val="20"/>
          <w:szCs w:val="20"/>
          <w:lang w:val="fr-CH"/>
        </w:rPr>
        <w:t xml:space="preserve">L’interprétation et l’application du </w:t>
      </w:r>
      <w:r w:rsidRPr="005E0471">
        <w:rPr>
          <w:rFonts w:cs="Arial"/>
          <w:b/>
          <w:sz w:val="20"/>
          <w:szCs w:val="20"/>
          <w:lang w:val="fr-CH"/>
        </w:rPr>
        <w:t>concept de péréquation</w:t>
      </w:r>
      <w:r>
        <w:rPr>
          <w:rFonts w:cs="Arial"/>
          <w:sz w:val="20"/>
          <w:szCs w:val="20"/>
          <w:lang w:val="fr-CH"/>
        </w:rPr>
        <w:t xml:space="preserve"> doit être révisé, surtout depuis que les crises économiques ou financières réduisent la capacité de redistribution de l’Etat central</w:t>
      </w:r>
      <w:r w:rsidRPr="005E0471">
        <w:rPr>
          <w:rFonts w:cs="Arial"/>
          <w:sz w:val="20"/>
          <w:szCs w:val="20"/>
          <w:lang w:val="fr-CH"/>
        </w:rPr>
        <w:t xml:space="preserve"> ou de l’Union européenne</w:t>
      </w:r>
      <w:r>
        <w:rPr>
          <w:rFonts w:cs="Arial"/>
          <w:sz w:val="20"/>
          <w:szCs w:val="20"/>
          <w:lang w:val="fr-CH"/>
        </w:rPr>
        <w:t xml:space="preserve"> : la péréquation doit être autant un facteur de réglementation et d’harmonisation d’un système local qu’un </w:t>
      </w:r>
      <w:r w:rsidR="004F05A1" w:rsidRPr="005E0471">
        <w:rPr>
          <w:rFonts w:cs="Arial"/>
          <w:sz w:val="20"/>
          <w:szCs w:val="20"/>
          <w:lang w:val="fr-CH"/>
        </w:rPr>
        <w:t xml:space="preserve">instrument </w:t>
      </w:r>
      <w:r>
        <w:rPr>
          <w:rFonts w:cs="Arial"/>
          <w:sz w:val="20"/>
          <w:szCs w:val="20"/>
          <w:lang w:val="fr-CH"/>
        </w:rPr>
        <w:t>d</w:t>
      </w:r>
      <w:r w:rsidR="004F05A1" w:rsidRPr="005E0471">
        <w:rPr>
          <w:rFonts w:cs="Arial"/>
          <w:sz w:val="20"/>
          <w:szCs w:val="20"/>
          <w:lang w:val="fr-CH"/>
        </w:rPr>
        <w:t>e r</w:t>
      </w:r>
      <w:r>
        <w:rPr>
          <w:rFonts w:cs="Arial"/>
          <w:sz w:val="20"/>
          <w:szCs w:val="20"/>
          <w:lang w:val="fr-CH"/>
        </w:rPr>
        <w:t>é</w:t>
      </w:r>
      <w:r w:rsidR="004F05A1" w:rsidRPr="005E0471">
        <w:rPr>
          <w:rFonts w:cs="Arial"/>
          <w:sz w:val="20"/>
          <w:szCs w:val="20"/>
          <w:lang w:val="fr-CH"/>
        </w:rPr>
        <w:t xml:space="preserve">orientation </w:t>
      </w:r>
      <w:r>
        <w:rPr>
          <w:rFonts w:cs="Arial"/>
          <w:sz w:val="20"/>
          <w:szCs w:val="20"/>
          <w:lang w:val="fr-CH"/>
        </w:rPr>
        <w:t>des</w:t>
      </w:r>
      <w:r w:rsidR="004F05A1" w:rsidRPr="005E0471">
        <w:rPr>
          <w:rFonts w:cs="Arial"/>
          <w:sz w:val="20"/>
          <w:szCs w:val="20"/>
          <w:lang w:val="fr-CH"/>
        </w:rPr>
        <w:t xml:space="preserve"> circuits </w:t>
      </w:r>
      <w:r>
        <w:rPr>
          <w:rFonts w:cs="Arial"/>
          <w:sz w:val="20"/>
          <w:szCs w:val="20"/>
          <w:lang w:val="fr-CH"/>
        </w:rPr>
        <w:t xml:space="preserve">financiers et de </w:t>
      </w:r>
      <w:r w:rsidR="004F05A1" w:rsidRPr="005E0471">
        <w:rPr>
          <w:rFonts w:cs="Arial"/>
          <w:sz w:val="20"/>
          <w:szCs w:val="20"/>
          <w:lang w:val="fr-CH"/>
        </w:rPr>
        <w:t>restruct</w:t>
      </w:r>
      <w:r>
        <w:rPr>
          <w:rFonts w:cs="Arial"/>
          <w:sz w:val="20"/>
          <w:szCs w:val="20"/>
          <w:lang w:val="fr-CH"/>
        </w:rPr>
        <w:t>urat</w:t>
      </w:r>
      <w:r w:rsidR="004F05A1" w:rsidRPr="005E0471">
        <w:rPr>
          <w:rFonts w:cs="Arial"/>
          <w:sz w:val="20"/>
          <w:szCs w:val="20"/>
          <w:lang w:val="fr-CH"/>
        </w:rPr>
        <w:t>i</w:t>
      </w:r>
      <w:r>
        <w:rPr>
          <w:rFonts w:cs="Arial"/>
          <w:sz w:val="20"/>
          <w:szCs w:val="20"/>
          <w:lang w:val="fr-CH"/>
        </w:rPr>
        <w:t>o</w:t>
      </w:r>
      <w:r w:rsidR="004F05A1" w:rsidRPr="005E0471">
        <w:rPr>
          <w:rFonts w:cs="Arial"/>
          <w:sz w:val="20"/>
          <w:szCs w:val="20"/>
          <w:lang w:val="fr-CH"/>
        </w:rPr>
        <w:t xml:space="preserve">n </w:t>
      </w:r>
      <w:r>
        <w:rPr>
          <w:rFonts w:cs="Arial"/>
          <w:sz w:val="20"/>
          <w:szCs w:val="20"/>
          <w:lang w:val="fr-CH"/>
        </w:rPr>
        <w:t>des finances locales</w:t>
      </w:r>
      <w:r w:rsidR="004F05A1" w:rsidRPr="005E0471">
        <w:rPr>
          <w:rFonts w:cs="Arial"/>
          <w:sz w:val="20"/>
          <w:szCs w:val="20"/>
          <w:lang w:val="fr-CH"/>
        </w:rPr>
        <w:t xml:space="preserve">. </w:t>
      </w:r>
    </w:p>
    <w:p w:rsidR="005E0471" w:rsidRPr="005E0471" w:rsidRDefault="005E0471" w:rsidP="005E19E1">
      <w:pPr>
        <w:pStyle w:val="ListParagraph"/>
        <w:numPr>
          <w:ilvl w:val="0"/>
          <w:numId w:val="23"/>
        </w:numPr>
        <w:pBdr>
          <w:top w:val="nil"/>
          <w:left w:val="nil"/>
          <w:bottom w:val="nil"/>
          <w:right w:val="nil"/>
          <w:between w:val="nil"/>
          <w:bar w:val="nil"/>
        </w:pBdr>
        <w:spacing w:after="0" w:line="240" w:lineRule="auto"/>
        <w:jc w:val="both"/>
        <w:rPr>
          <w:rFonts w:cs="Arial"/>
          <w:sz w:val="20"/>
          <w:szCs w:val="20"/>
          <w:lang w:val="fr-CH"/>
        </w:rPr>
      </w:pPr>
      <w:r w:rsidRPr="005E0471">
        <w:rPr>
          <w:rFonts w:cs="Arial"/>
          <w:sz w:val="20"/>
          <w:szCs w:val="20"/>
          <w:lang w:val="fr-CH"/>
        </w:rPr>
        <w:t xml:space="preserve">La péréquation doit s’insérer dans la </w:t>
      </w:r>
      <w:r w:rsidRPr="005E0471">
        <w:rPr>
          <w:rFonts w:cs="Arial"/>
          <w:b/>
          <w:sz w:val="20"/>
          <w:szCs w:val="20"/>
          <w:lang w:val="fr-CH"/>
        </w:rPr>
        <w:t>logique d’autonomie financière</w:t>
      </w:r>
      <w:r w:rsidRPr="005E0471">
        <w:rPr>
          <w:rFonts w:cs="Arial"/>
          <w:sz w:val="20"/>
          <w:szCs w:val="20"/>
          <w:lang w:val="fr-CH"/>
        </w:rPr>
        <w:t>, c’est-à-dire de responsabilité et d’autorité dans la r</w:t>
      </w:r>
      <w:r>
        <w:rPr>
          <w:rFonts w:cs="Arial"/>
          <w:sz w:val="20"/>
          <w:szCs w:val="20"/>
          <w:lang w:val="fr-CH"/>
        </w:rPr>
        <w:t>é</w:t>
      </w:r>
      <w:r w:rsidRPr="005E0471">
        <w:rPr>
          <w:rFonts w:cs="Arial"/>
          <w:sz w:val="20"/>
          <w:szCs w:val="20"/>
          <w:lang w:val="fr-CH"/>
        </w:rPr>
        <w:t>gion autonome</w:t>
      </w:r>
      <w:r>
        <w:rPr>
          <w:rFonts w:cs="Arial"/>
          <w:sz w:val="20"/>
          <w:szCs w:val="20"/>
          <w:lang w:val="fr-CH"/>
        </w:rPr>
        <w:t> : celle-ci doit passer d’un état de dépendance financière à la</w:t>
      </w:r>
      <w:r w:rsidR="004F05A1" w:rsidRPr="005E0471">
        <w:rPr>
          <w:rFonts w:cs="Arial"/>
          <w:sz w:val="20"/>
          <w:szCs w:val="20"/>
          <w:lang w:val="fr-CH"/>
        </w:rPr>
        <w:t xml:space="preserve"> capacit</w:t>
      </w:r>
      <w:r>
        <w:rPr>
          <w:rFonts w:cs="Arial"/>
          <w:sz w:val="20"/>
          <w:szCs w:val="20"/>
          <w:lang w:val="fr-CH"/>
        </w:rPr>
        <w:t>é d’améliorer son propre développement</w:t>
      </w:r>
      <w:r w:rsidR="004F05A1" w:rsidRPr="005E0471">
        <w:rPr>
          <w:rFonts w:cs="Arial"/>
          <w:sz w:val="20"/>
          <w:szCs w:val="20"/>
          <w:lang w:val="fr-CH"/>
        </w:rPr>
        <w:t xml:space="preserve"> socio-</w:t>
      </w:r>
      <w:r>
        <w:rPr>
          <w:rFonts w:cs="Arial"/>
          <w:sz w:val="20"/>
          <w:szCs w:val="20"/>
          <w:lang w:val="fr-CH"/>
        </w:rPr>
        <w:t>é</w:t>
      </w:r>
      <w:r w:rsidR="004F05A1" w:rsidRPr="005E0471">
        <w:rPr>
          <w:rFonts w:cs="Arial"/>
          <w:sz w:val="20"/>
          <w:szCs w:val="20"/>
          <w:lang w:val="fr-CH"/>
        </w:rPr>
        <w:t>conomi</w:t>
      </w:r>
      <w:r>
        <w:rPr>
          <w:rFonts w:cs="Arial"/>
          <w:sz w:val="20"/>
          <w:szCs w:val="20"/>
          <w:lang w:val="fr-CH"/>
        </w:rPr>
        <w:t xml:space="preserve">que, ce qui exige une </w:t>
      </w:r>
      <w:r>
        <w:rPr>
          <w:rFonts w:cs="Arial"/>
          <w:b/>
          <w:sz w:val="20"/>
          <w:szCs w:val="20"/>
          <w:lang w:val="fr-CH"/>
        </w:rPr>
        <w:t>bonne</w:t>
      </w:r>
      <w:r w:rsidR="004F05A1" w:rsidRPr="005E0471">
        <w:rPr>
          <w:rFonts w:cs="Arial"/>
          <w:b/>
          <w:sz w:val="20"/>
          <w:szCs w:val="20"/>
          <w:lang w:val="fr-CH"/>
        </w:rPr>
        <w:t xml:space="preserve"> go</w:t>
      </w:r>
      <w:r>
        <w:rPr>
          <w:rFonts w:cs="Arial"/>
          <w:b/>
          <w:sz w:val="20"/>
          <w:szCs w:val="20"/>
          <w:lang w:val="fr-CH"/>
        </w:rPr>
        <w:t>u</w:t>
      </w:r>
      <w:r w:rsidR="004F05A1" w:rsidRPr="005E0471">
        <w:rPr>
          <w:rFonts w:cs="Arial"/>
          <w:b/>
          <w:sz w:val="20"/>
          <w:szCs w:val="20"/>
          <w:lang w:val="fr-CH"/>
        </w:rPr>
        <w:t>vernance</w:t>
      </w:r>
      <w:r w:rsidRPr="005E0471">
        <w:rPr>
          <w:rFonts w:cs="Arial"/>
          <w:b/>
          <w:sz w:val="20"/>
          <w:szCs w:val="20"/>
          <w:lang w:val="fr-CH"/>
        </w:rPr>
        <w:t>.</w:t>
      </w:r>
    </w:p>
    <w:p w:rsidR="00E0577B" w:rsidRPr="00600516" w:rsidRDefault="005E0471" w:rsidP="005E19E1">
      <w:pPr>
        <w:pStyle w:val="ListParagraph"/>
        <w:numPr>
          <w:ilvl w:val="0"/>
          <w:numId w:val="23"/>
        </w:numPr>
        <w:pBdr>
          <w:top w:val="nil"/>
          <w:left w:val="nil"/>
          <w:bottom w:val="nil"/>
          <w:right w:val="nil"/>
          <w:between w:val="nil"/>
          <w:bar w:val="nil"/>
        </w:pBdr>
        <w:spacing w:after="0" w:line="240" w:lineRule="auto"/>
        <w:jc w:val="both"/>
        <w:rPr>
          <w:rFonts w:cs="Arial"/>
          <w:sz w:val="20"/>
          <w:szCs w:val="20"/>
          <w:lang w:val="fr-CH"/>
        </w:rPr>
      </w:pPr>
      <w:r w:rsidRPr="005E0471">
        <w:rPr>
          <w:rFonts w:cs="Arial"/>
          <w:sz w:val="20"/>
          <w:szCs w:val="20"/>
          <w:lang w:val="fr-CH"/>
        </w:rPr>
        <w:t>La</w:t>
      </w:r>
      <w:r w:rsidR="004F05A1" w:rsidRPr="005E0471">
        <w:rPr>
          <w:rFonts w:cs="Arial"/>
          <w:sz w:val="20"/>
          <w:szCs w:val="20"/>
          <w:lang w:val="fr-CH"/>
        </w:rPr>
        <w:t xml:space="preserve"> promotion </w:t>
      </w:r>
      <w:r w:rsidRPr="005E0471">
        <w:rPr>
          <w:rFonts w:cs="Arial"/>
          <w:sz w:val="20"/>
          <w:szCs w:val="20"/>
          <w:lang w:val="fr-CH"/>
        </w:rPr>
        <w:t xml:space="preserve">de la </w:t>
      </w:r>
      <w:r w:rsidRPr="00E0577B">
        <w:rPr>
          <w:rFonts w:cs="Arial"/>
          <w:b/>
          <w:sz w:val="20"/>
          <w:szCs w:val="20"/>
          <w:lang w:val="fr-CH"/>
        </w:rPr>
        <w:t>démocratie</w:t>
      </w:r>
      <w:r w:rsidR="004F05A1" w:rsidRPr="00E0577B">
        <w:rPr>
          <w:rFonts w:cs="Arial"/>
          <w:b/>
          <w:sz w:val="20"/>
          <w:szCs w:val="20"/>
          <w:lang w:val="fr-CH"/>
        </w:rPr>
        <w:t xml:space="preserve"> r</w:t>
      </w:r>
      <w:r w:rsidRPr="00E0577B">
        <w:rPr>
          <w:rFonts w:cs="Arial"/>
          <w:b/>
          <w:sz w:val="20"/>
          <w:szCs w:val="20"/>
          <w:lang w:val="fr-CH"/>
        </w:rPr>
        <w:t>é</w:t>
      </w:r>
      <w:r w:rsidR="004F05A1" w:rsidRPr="00E0577B">
        <w:rPr>
          <w:rFonts w:cs="Arial"/>
          <w:b/>
          <w:sz w:val="20"/>
          <w:szCs w:val="20"/>
          <w:lang w:val="fr-CH"/>
        </w:rPr>
        <w:t>gional</w:t>
      </w:r>
      <w:r w:rsidR="00E0577B" w:rsidRPr="00E0577B">
        <w:rPr>
          <w:rFonts w:cs="Arial"/>
          <w:b/>
          <w:sz w:val="20"/>
          <w:szCs w:val="20"/>
          <w:lang w:val="fr-CH"/>
        </w:rPr>
        <w:t>e</w:t>
      </w:r>
      <w:r w:rsidRPr="00E0577B">
        <w:rPr>
          <w:rFonts w:cs="Arial"/>
          <w:b/>
          <w:sz w:val="20"/>
          <w:szCs w:val="20"/>
          <w:lang w:val="fr-CH"/>
        </w:rPr>
        <w:t xml:space="preserve"> et de l’autonomie</w:t>
      </w:r>
      <w:r w:rsidR="004F05A1" w:rsidRPr="00E0577B">
        <w:rPr>
          <w:rFonts w:cs="Arial"/>
          <w:b/>
          <w:sz w:val="20"/>
          <w:szCs w:val="20"/>
          <w:lang w:val="fr-CH"/>
        </w:rPr>
        <w:t xml:space="preserve"> local</w:t>
      </w:r>
      <w:r w:rsidRPr="00E0577B">
        <w:rPr>
          <w:rFonts w:cs="Arial"/>
          <w:b/>
          <w:sz w:val="20"/>
          <w:szCs w:val="20"/>
          <w:lang w:val="fr-CH"/>
        </w:rPr>
        <w:t>e</w:t>
      </w:r>
      <w:r>
        <w:rPr>
          <w:rFonts w:cs="Arial"/>
          <w:sz w:val="20"/>
          <w:szCs w:val="20"/>
          <w:lang w:val="fr-CH"/>
        </w:rPr>
        <w:t xml:space="preserve"> </w:t>
      </w:r>
      <w:r w:rsidR="00E0577B">
        <w:rPr>
          <w:rFonts w:cs="Arial"/>
          <w:sz w:val="20"/>
          <w:szCs w:val="20"/>
          <w:lang w:val="fr-CH"/>
        </w:rPr>
        <w:t>peut</w:t>
      </w:r>
      <w:r>
        <w:rPr>
          <w:rFonts w:cs="Arial"/>
          <w:sz w:val="20"/>
          <w:szCs w:val="20"/>
          <w:lang w:val="fr-CH"/>
        </w:rPr>
        <w:t xml:space="preserve"> accr</w:t>
      </w:r>
      <w:r w:rsidR="00E0577B">
        <w:rPr>
          <w:rFonts w:cs="Arial"/>
          <w:sz w:val="20"/>
          <w:szCs w:val="20"/>
          <w:lang w:val="fr-CH"/>
        </w:rPr>
        <w:t>oître</w:t>
      </w:r>
      <w:r>
        <w:rPr>
          <w:rFonts w:cs="Arial"/>
          <w:sz w:val="20"/>
          <w:szCs w:val="20"/>
          <w:lang w:val="fr-CH"/>
        </w:rPr>
        <w:t xml:space="preserve"> la</w:t>
      </w:r>
      <w:r w:rsidR="004F05A1" w:rsidRPr="005E0471">
        <w:rPr>
          <w:rFonts w:cs="Arial"/>
          <w:sz w:val="20"/>
          <w:szCs w:val="20"/>
          <w:lang w:val="fr-CH"/>
        </w:rPr>
        <w:t xml:space="preserve"> stabilit</w:t>
      </w:r>
      <w:r w:rsidR="00E0577B">
        <w:rPr>
          <w:rFonts w:cs="Arial"/>
          <w:sz w:val="20"/>
          <w:szCs w:val="20"/>
          <w:lang w:val="fr-CH"/>
        </w:rPr>
        <w:t xml:space="preserve">é des Etats (cas du </w:t>
      </w:r>
      <w:r w:rsidR="00E0577B" w:rsidRPr="005E0471">
        <w:rPr>
          <w:rFonts w:cs="Arial"/>
          <w:sz w:val="20"/>
          <w:szCs w:val="20"/>
          <w:lang w:val="fr-CH"/>
        </w:rPr>
        <w:t>Con</w:t>
      </w:r>
      <w:r w:rsidR="00E0577B">
        <w:rPr>
          <w:rFonts w:cs="Arial"/>
          <w:sz w:val="20"/>
          <w:szCs w:val="20"/>
          <w:lang w:val="fr-CH"/>
        </w:rPr>
        <w:t>se</w:t>
      </w:r>
      <w:r w:rsidR="00E0577B" w:rsidRPr="005E0471">
        <w:rPr>
          <w:rFonts w:cs="Arial"/>
          <w:sz w:val="20"/>
          <w:szCs w:val="20"/>
          <w:lang w:val="fr-CH"/>
        </w:rPr>
        <w:t xml:space="preserve">il </w:t>
      </w:r>
      <w:r w:rsidR="00E0577B">
        <w:rPr>
          <w:rFonts w:cs="Arial"/>
          <w:sz w:val="20"/>
          <w:szCs w:val="20"/>
          <w:lang w:val="fr-CH"/>
        </w:rPr>
        <w:t>de l’</w:t>
      </w:r>
      <w:r w:rsidR="00E0577B" w:rsidRPr="005E0471">
        <w:rPr>
          <w:rFonts w:cs="Arial"/>
          <w:sz w:val="20"/>
          <w:szCs w:val="20"/>
          <w:lang w:val="fr-CH"/>
        </w:rPr>
        <w:t>Europe</w:t>
      </w:r>
      <w:r w:rsidR="00E0577B">
        <w:rPr>
          <w:rFonts w:cs="Arial"/>
          <w:sz w:val="20"/>
          <w:szCs w:val="20"/>
          <w:lang w:val="fr-CH"/>
        </w:rPr>
        <w:t>), en définissant les droits et obligations des entités</w:t>
      </w:r>
      <w:r w:rsidR="004F05A1" w:rsidRPr="00E0577B">
        <w:rPr>
          <w:rFonts w:cs="Arial"/>
          <w:sz w:val="20"/>
          <w:szCs w:val="20"/>
          <w:lang w:val="fr-CH"/>
        </w:rPr>
        <w:t xml:space="preserve"> local</w:t>
      </w:r>
      <w:r w:rsidR="00E0577B">
        <w:rPr>
          <w:rFonts w:cs="Arial"/>
          <w:sz w:val="20"/>
          <w:szCs w:val="20"/>
          <w:lang w:val="fr-CH"/>
        </w:rPr>
        <w:t>es</w:t>
      </w:r>
      <w:r w:rsidR="004F05A1" w:rsidRPr="00E0577B">
        <w:rPr>
          <w:rFonts w:cs="Arial"/>
          <w:sz w:val="20"/>
          <w:szCs w:val="20"/>
          <w:lang w:val="fr-CH"/>
        </w:rPr>
        <w:t xml:space="preserve"> </w:t>
      </w:r>
      <w:r w:rsidR="00E0577B">
        <w:rPr>
          <w:rFonts w:cs="Arial"/>
          <w:sz w:val="20"/>
          <w:szCs w:val="20"/>
          <w:lang w:val="fr-CH"/>
        </w:rPr>
        <w:t>et</w:t>
      </w:r>
      <w:r w:rsidR="004F05A1" w:rsidRPr="00E0577B">
        <w:rPr>
          <w:rFonts w:cs="Arial"/>
          <w:sz w:val="20"/>
          <w:szCs w:val="20"/>
          <w:lang w:val="fr-CH"/>
        </w:rPr>
        <w:t xml:space="preserve"> r</w:t>
      </w:r>
      <w:r w:rsidR="00E0577B">
        <w:rPr>
          <w:rFonts w:cs="Arial"/>
          <w:sz w:val="20"/>
          <w:szCs w:val="20"/>
          <w:lang w:val="fr-CH"/>
        </w:rPr>
        <w:t>é</w:t>
      </w:r>
      <w:r w:rsidR="004F05A1" w:rsidRPr="00E0577B">
        <w:rPr>
          <w:rFonts w:cs="Arial"/>
          <w:sz w:val="20"/>
          <w:szCs w:val="20"/>
          <w:lang w:val="fr-CH"/>
        </w:rPr>
        <w:t>gional</w:t>
      </w:r>
      <w:r w:rsidR="00E0577B">
        <w:rPr>
          <w:rFonts w:cs="Arial"/>
          <w:sz w:val="20"/>
          <w:szCs w:val="20"/>
          <w:lang w:val="fr-CH"/>
        </w:rPr>
        <w:t>es</w:t>
      </w:r>
      <w:r w:rsidR="004F05A1" w:rsidRPr="00E0577B">
        <w:rPr>
          <w:rFonts w:cs="Arial"/>
          <w:sz w:val="20"/>
          <w:szCs w:val="20"/>
          <w:lang w:val="fr-CH"/>
        </w:rPr>
        <w:t xml:space="preserve"> </w:t>
      </w:r>
      <w:r w:rsidR="00E0577B">
        <w:rPr>
          <w:rFonts w:cs="Arial"/>
          <w:sz w:val="20"/>
          <w:szCs w:val="20"/>
          <w:lang w:val="fr-CH"/>
        </w:rPr>
        <w:t xml:space="preserve">sur la base des principes de </w:t>
      </w:r>
      <w:r w:rsidR="004F05A1" w:rsidRPr="00E0577B">
        <w:rPr>
          <w:rFonts w:cs="Arial"/>
          <w:sz w:val="20"/>
          <w:szCs w:val="20"/>
          <w:lang w:val="fr-CH"/>
        </w:rPr>
        <w:t>subsidiarit</w:t>
      </w:r>
      <w:r w:rsidR="00E0577B">
        <w:rPr>
          <w:rFonts w:cs="Arial"/>
          <w:sz w:val="20"/>
          <w:szCs w:val="20"/>
          <w:lang w:val="fr-CH"/>
        </w:rPr>
        <w:t>é</w:t>
      </w:r>
      <w:r w:rsidR="004F05A1" w:rsidRPr="00E0577B">
        <w:rPr>
          <w:rFonts w:cs="Arial"/>
          <w:sz w:val="20"/>
          <w:szCs w:val="20"/>
          <w:lang w:val="fr-CH"/>
        </w:rPr>
        <w:t xml:space="preserve">, </w:t>
      </w:r>
      <w:r w:rsidR="00E0577B">
        <w:rPr>
          <w:rFonts w:cs="Arial"/>
          <w:sz w:val="20"/>
          <w:szCs w:val="20"/>
          <w:lang w:val="fr-CH"/>
        </w:rPr>
        <w:t xml:space="preserve">de cohésion </w:t>
      </w:r>
      <w:r w:rsidR="004F05A1" w:rsidRPr="00E0577B">
        <w:rPr>
          <w:rFonts w:cs="Arial"/>
          <w:sz w:val="20"/>
          <w:szCs w:val="20"/>
          <w:lang w:val="fr-CH"/>
        </w:rPr>
        <w:t>territorial</w:t>
      </w:r>
      <w:r w:rsidR="00E0577B">
        <w:rPr>
          <w:rFonts w:cs="Arial"/>
          <w:sz w:val="20"/>
          <w:szCs w:val="20"/>
          <w:lang w:val="fr-CH"/>
        </w:rPr>
        <w:t>e</w:t>
      </w:r>
      <w:r w:rsidR="004F05A1" w:rsidRPr="00E0577B">
        <w:rPr>
          <w:rFonts w:cs="Arial"/>
          <w:sz w:val="20"/>
          <w:szCs w:val="20"/>
          <w:lang w:val="fr-CH"/>
        </w:rPr>
        <w:t xml:space="preserve"> </w:t>
      </w:r>
      <w:r w:rsidR="00E0577B">
        <w:rPr>
          <w:rFonts w:cs="Arial"/>
          <w:sz w:val="20"/>
          <w:szCs w:val="20"/>
          <w:lang w:val="fr-CH"/>
        </w:rPr>
        <w:t>et de</w:t>
      </w:r>
      <w:r w:rsidR="004F05A1" w:rsidRPr="00E0577B">
        <w:rPr>
          <w:rFonts w:cs="Arial"/>
          <w:sz w:val="20"/>
          <w:szCs w:val="20"/>
          <w:lang w:val="fr-CH"/>
        </w:rPr>
        <w:t xml:space="preserve"> solidarit</w:t>
      </w:r>
      <w:r w:rsidR="00E0577B">
        <w:rPr>
          <w:rFonts w:cs="Arial"/>
          <w:sz w:val="20"/>
          <w:szCs w:val="20"/>
          <w:lang w:val="fr-CH"/>
        </w:rPr>
        <w:t>é.</w:t>
      </w:r>
    </w:p>
    <w:p w:rsidR="00E0577B" w:rsidRPr="00600516" w:rsidRDefault="00E0577B" w:rsidP="005E19E1">
      <w:pPr>
        <w:pStyle w:val="ListParagraph"/>
        <w:numPr>
          <w:ilvl w:val="0"/>
          <w:numId w:val="23"/>
        </w:numPr>
        <w:pBdr>
          <w:top w:val="nil"/>
          <w:left w:val="nil"/>
          <w:bottom w:val="nil"/>
          <w:right w:val="nil"/>
          <w:between w:val="nil"/>
          <w:bar w:val="nil"/>
        </w:pBdr>
        <w:spacing w:after="0" w:line="240" w:lineRule="auto"/>
        <w:jc w:val="both"/>
        <w:rPr>
          <w:rFonts w:eastAsia="Arial" w:cs="Arial"/>
          <w:color w:val="000000" w:themeColor="text1"/>
          <w:sz w:val="20"/>
          <w:szCs w:val="20"/>
          <w:lang w:val="fr-CH"/>
        </w:rPr>
      </w:pPr>
      <w:r w:rsidRPr="00E0577B">
        <w:rPr>
          <w:rFonts w:cs="Arial"/>
          <w:sz w:val="20"/>
          <w:szCs w:val="20"/>
          <w:lang w:val="fr-CH"/>
        </w:rPr>
        <w:t xml:space="preserve">Même si le </w:t>
      </w:r>
      <w:r w:rsidRPr="008E0D65">
        <w:rPr>
          <w:rFonts w:cs="Arial"/>
          <w:b/>
          <w:sz w:val="20"/>
          <w:szCs w:val="20"/>
          <w:lang w:val="fr-CH"/>
        </w:rPr>
        <w:t>mécanisme de péréquation</w:t>
      </w:r>
      <w:r w:rsidRPr="00E0577B">
        <w:rPr>
          <w:rFonts w:cs="Arial"/>
          <w:sz w:val="20"/>
          <w:szCs w:val="20"/>
          <w:lang w:val="fr-CH"/>
        </w:rPr>
        <w:t xml:space="preserve"> est inscrit dans la </w:t>
      </w:r>
      <w:r w:rsidR="004F05A1" w:rsidRPr="00E0577B">
        <w:rPr>
          <w:rFonts w:cs="Arial"/>
          <w:sz w:val="20"/>
          <w:szCs w:val="20"/>
          <w:lang w:val="fr-CH"/>
        </w:rPr>
        <w:t>Constitution</w:t>
      </w:r>
      <w:r w:rsidRPr="00E0577B">
        <w:rPr>
          <w:rFonts w:cs="Arial"/>
          <w:sz w:val="20"/>
          <w:szCs w:val="20"/>
          <w:lang w:val="fr-CH"/>
        </w:rPr>
        <w:t xml:space="preserve"> (comme au Canada)</w:t>
      </w:r>
      <w:r w:rsidR="004F05A1" w:rsidRPr="00E0577B">
        <w:rPr>
          <w:rFonts w:cs="Arial"/>
          <w:sz w:val="20"/>
          <w:szCs w:val="20"/>
          <w:lang w:val="fr-CH"/>
        </w:rPr>
        <w:t>, s</w:t>
      </w:r>
      <w:r w:rsidRPr="00E0577B">
        <w:rPr>
          <w:rFonts w:cs="Arial"/>
          <w:sz w:val="20"/>
          <w:szCs w:val="20"/>
          <w:lang w:val="fr-CH"/>
        </w:rPr>
        <w:t>on</w:t>
      </w:r>
      <w:r w:rsidR="004F05A1" w:rsidRPr="00E0577B">
        <w:rPr>
          <w:rFonts w:cs="Arial"/>
          <w:sz w:val="20"/>
          <w:szCs w:val="20"/>
          <w:lang w:val="fr-CH"/>
        </w:rPr>
        <w:t xml:space="preserve"> application </w:t>
      </w:r>
      <w:r w:rsidRPr="00E0577B">
        <w:rPr>
          <w:rFonts w:cs="Arial"/>
          <w:sz w:val="20"/>
          <w:szCs w:val="20"/>
          <w:lang w:val="fr-CH"/>
        </w:rPr>
        <w:t>peut s’adapter à l’</w:t>
      </w:r>
      <w:r>
        <w:rPr>
          <w:rFonts w:cs="Arial"/>
          <w:sz w:val="20"/>
          <w:szCs w:val="20"/>
          <w:lang w:val="fr-CH"/>
        </w:rPr>
        <w:t>é</w:t>
      </w:r>
      <w:r w:rsidR="004F05A1" w:rsidRPr="00E0577B">
        <w:rPr>
          <w:rFonts w:cs="Arial"/>
          <w:sz w:val="20"/>
          <w:szCs w:val="20"/>
          <w:lang w:val="fr-CH"/>
        </w:rPr>
        <w:t>vol</w:t>
      </w:r>
      <w:r>
        <w:rPr>
          <w:rFonts w:cs="Arial"/>
          <w:sz w:val="20"/>
          <w:szCs w:val="20"/>
          <w:lang w:val="fr-CH"/>
        </w:rPr>
        <w:t>ution des conditions</w:t>
      </w:r>
      <w:r w:rsidR="004F05A1" w:rsidRPr="00E0577B">
        <w:rPr>
          <w:rFonts w:cs="Arial"/>
          <w:sz w:val="20"/>
          <w:szCs w:val="20"/>
          <w:lang w:val="fr-CH"/>
        </w:rPr>
        <w:t xml:space="preserve"> </w:t>
      </w:r>
      <w:r>
        <w:rPr>
          <w:rFonts w:cs="Arial"/>
          <w:sz w:val="20"/>
          <w:szCs w:val="20"/>
          <w:lang w:val="fr-CH"/>
        </w:rPr>
        <w:t>é</w:t>
      </w:r>
      <w:r w:rsidR="004F05A1" w:rsidRPr="00E0577B">
        <w:rPr>
          <w:rFonts w:cs="Arial"/>
          <w:sz w:val="20"/>
          <w:szCs w:val="20"/>
          <w:lang w:val="fr-CH"/>
        </w:rPr>
        <w:t>conomi</w:t>
      </w:r>
      <w:r>
        <w:rPr>
          <w:rFonts w:cs="Arial"/>
          <w:sz w:val="20"/>
          <w:szCs w:val="20"/>
          <w:lang w:val="fr-CH"/>
        </w:rPr>
        <w:t>qu</w:t>
      </w:r>
      <w:r w:rsidR="004F05A1" w:rsidRPr="00E0577B">
        <w:rPr>
          <w:rFonts w:cs="Arial"/>
          <w:sz w:val="20"/>
          <w:szCs w:val="20"/>
          <w:lang w:val="fr-CH"/>
        </w:rPr>
        <w:t>es</w:t>
      </w:r>
      <w:r>
        <w:rPr>
          <w:rFonts w:cs="Arial"/>
          <w:sz w:val="20"/>
          <w:szCs w:val="20"/>
          <w:lang w:val="fr-CH"/>
        </w:rPr>
        <w:t xml:space="preserve"> (par exemple quand les cours de la ressource naturelle locale diminuent et que la région doit bénéficier de la solidarité nationale). Les transferts de l’Etat central vers la ou les régions autonomes doivent assurer des niveaux comparables de santé publique, d’éducation et de bien-être social pour tous les citoyens.</w:t>
      </w:r>
    </w:p>
    <w:p w:rsidR="00701885" w:rsidRPr="00E0577B" w:rsidRDefault="00E0577B" w:rsidP="00E0577B">
      <w:pPr>
        <w:pStyle w:val="ListParagraph"/>
        <w:pBdr>
          <w:top w:val="nil"/>
          <w:left w:val="nil"/>
          <w:bottom w:val="nil"/>
          <w:right w:val="nil"/>
          <w:between w:val="nil"/>
          <w:bar w:val="nil"/>
        </w:pBdr>
        <w:spacing w:after="0" w:line="240" w:lineRule="auto"/>
        <w:jc w:val="both"/>
        <w:rPr>
          <w:rFonts w:eastAsia="Arial" w:cs="Arial"/>
          <w:color w:val="000000" w:themeColor="text1"/>
          <w:sz w:val="20"/>
          <w:szCs w:val="20"/>
          <w:lang w:val="fr-CH"/>
        </w:rPr>
      </w:pPr>
      <w:r w:rsidRPr="00E0577B">
        <w:rPr>
          <w:rFonts w:eastAsia="Arial" w:cs="Arial"/>
          <w:color w:val="000000" w:themeColor="text1"/>
          <w:sz w:val="20"/>
          <w:szCs w:val="20"/>
          <w:lang w:val="fr-CH"/>
        </w:rPr>
        <w:t xml:space="preserve"> </w:t>
      </w:r>
    </w:p>
    <w:p w:rsidR="00701885" w:rsidRDefault="00E0577B" w:rsidP="00EE602F">
      <w:pPr>
        <w:pBdr>
          <w:top w:val="nil"/>
          <w:left w:val="nil"/>
          <w:bottom w:val="nil"/>
          <w:right w:val="nil"/>
          <w:between w:val="nil"/>
          <w:bar w:val="nil"/>
        </w:pBdr>
        <w:spacing w:after="0" w:line="240" w:lineRule="auto"/>
        <w:jc w:val="both"/>
        <w:rPr>
          <w:rFonts w:cs="Arial"/>
          <w:color w:val="000000" w:themeColor="text1"/>
          <w:sz w:val="20"/>
          <w:szCs w:val="20"/>
          <w:lang w:val="fr-CH"/>
        </w:rPr>
      </w:pPr>
      <w:r>
        <w:rPr>
          <w:rFonts w:cs="Arial"/>
          <w:color w:val="000000" w:themeColor="text1"/>
          <w:sz w:val="20"/>
          <w:szCs w:val="20"/>
          <w:lang w:val="fr-CH"/>
        </w:rPr>
        <w:t xml:space="preserve">6)  </w:t>
      </w:r>
      <w:r w:rsidR="00701885" w:rsidRPr="00D97333">
        <w:rPr>
          <w:rFonts w:cs="Arial"/>
          <w:color w:val="000000" w:themeColor="text1"/>
          <w:sz w:val="20"/>
          <w:szCs w:val="20"/>
          <w:lang w:val="fr-CH"/>
        </w:rPr>
        <w:t xml:space="preserve">Le </w:t>
      </w:r>
      <w:r w:rsidR="00701885" w:rsidRPr="00D97333">
        <w:rPr>
          <w:rFonts w:cs="Arial"/>
          <w:b/>
          <w:bCs/>
          <w:color w:val="000000" w:themeColor="text1"/>
          <w:sz w:val="20"/>
          <w:szCs w:val="20"/>
          <w:lang w:val="fr-CH"/>
        </w:rPr>
        <w:t>25 mars 2014</w:t>
      </w:r>
      <w:r w:rsidR="00701885" w:rsidRPr="00D97333">
        <w:rPr>
          <w:rFonts w:cs="Arial"/>
          <w:color w:val="000000" w:themeColor="text1"/>
          <w:sz w:val="20"/>
          <w:szCs w:val="20"/>
          <w:lang w:val="fr-CH"/>
        </w:rPr>
        <w:t xml:space="preserve"> à Genève sur « </w:t>
      </w:r>
      <w:r w:rsidR="00701885" w:rsidRPr="00E0577B">
        <w:rPr>
          <w:rFonts w:cs="Arial"/>
          <w:b/>
          <w:color w:val="000000" w:themeColor="text1"/>
          <w:sz w:val="20"/>
          <w:szCs w:val="20"/>
          <w:lang w:val="fr-CH"/>
        </w:rPr>
        <w:t>Quel modèle de développement pour les régions autonomes ?</w:t>
      </w:r>
      <w:r w:rsidR="00701885" w:rsidRPr="00D97333">
        <w:rPr>
          <w:rFonts w:cs="Arial"/>
          <w:color w:val="000000" w:themeColor="text1"/>
          <w:sz w:val="20"/>
          <w:szCs w:val="20"/>
          <w:lang w:val="fr-CH"/>
        </w:rPr>
        <w:t> » </w:t>
      </w:r>
      <w:r>
        <w:rPr>
          <w:rFonts w:cs="Arial"/>
          <w:color w:val="000000" w:themeColor="text1"/>
          <w:sz w:val="20"/>
          <w:szCs w:val="20"/>
          <w:lang w:val="fr-CH"/>
        </w:rPr>
        <w:t xml:space="preserve">avec la comparaison des cas des Açores et de Madère, du Kurdistan irakien, du Mindanao musulman aux Philippines et de la Wallonie. Leçons tirées : </w:t>
      </w:r>
      <w:r w:rsidR="00701885" w:rsidRPr="00D97333">
        <w:rPr>
          <w:rFonts w:cs="Arial"/>
          <w:color w:val="000000" w:themeColor="text1"/>
          <w:sz w:val="20"/>
          <w:szCs w:val="20"/>
          <w:lang w:val="fr-CH"/>
        </w:rPr>
        <w:t xml:space="preserve"> </w:t>
      </w:r>
    </w:p>
    <w:p w:rsidR="00EE602F" w:rsidRPr="00EE602F" w:rsidRDefault="00EE602F" w:rsidP="005E19E1">
      <w:pPr>
        <w:pStyle w:val="ListParagraph"/>
        <w:numPr>
          <w:ilvl w:val="0"/>
          <w:numId w:val="22"/>
        </w:numPr>
        <w:spacing w:after="0" w:line="240" w:lineRule="auto"/>
        <w:jc w:val="both"/>
        <w:rPr>
          <w:sz w:val="20"/>
          <w:szCs w:val="20"/>
          <w:lang w:val="fr-CH"/>
        </w:rPr>
      </w:pPr>
      <w:r w:rsidRPr="00EE602F">
        <w:rPr>
          <w:sz w:val="20"/>
          <w:szCs w:val="20"/>
          <w:lang w:val="fr-CH"/>
        </w:rPr>
        <w:t>Pour être efficace, le modèle de développement doit rompr</w:t>
      </w:r>
      <w:r>
        <w:rPr>
          <w:sz w:val="20"/>
          <w:szCs w:val="20"/>
          <w:lang w:val="fr-CH"/>
        </w:rPr>
        <w:t>e</w:t>
      </w:r>
      <w:r w:rsidRPr="00EE602F">
        <w:rPr>
          <w:sz w:val="20"/>
          <w:szCs w:val="20"/>
          <w:lang w:val="fr-CH"/>
        </w:rPr>
        <w:t xml:space="preserve"> avec les pr</w:t>
      </w:r>
      <w:r>
        <w:rPr>
          <w:sz w:val="20"/>
          <w:szCs w:val="20"/>
          <w:lang w:val="fr-CH"/>
        </w:rPr>
        <w:t>a</w:t>
      </w:r>
      <w:r w:rsidRPr="00EE602F">
        <w:rPr>
          <w:sz w:val="20"/>
          <w:szCs w:val="20"/>
          <w:lang w:val="fr-CH"/>
        </w:rPr>
        <w:t>tiques contre-productives</w:t>
      </w:r>
      <w:r>
        <w:rPr>
          <w:sz w:val="20"/>
          <w:szCs w:val="20"/>
          <w:lang w:val="fr-CH"/>
        </w:rPr>
        <w:t xml:space="preserve"> du passé, notamment en </w:t>
      </w:r>
      <w:r w:rsidRPr="008E0D65">
        <w:rPr>
          <w:b/>
          <w:sz w:val="20"/>
          <w:szCs w:val="20"/>
          <w:lang w:val="fr-CH"/>
        </w:rPr>
        <w:t>décentralisant la prise de décision</w:t>
      </w:r>
      <w:r>
        <w:rPr>
          <w:sz w:val="20"/>
          <w:szCs w:val="20"/>
          <w:lang w:val="fr-CH"/>
        </w:rPr>
        <w:t xml:space="preserve"> et en promouvant la participation des citoyens et l’Etat de droit, en remplaçant l’économie de rente par une croissance générée par les entreprises locales.</w:t>
      </w:r>
    </w:p>
    <w:p w:rsidR="00EE24BC" w:rsidRPr="00EE24BC" w:rsidRDefault="00EE602F" w:rsidP="005E19E1">
      <w:pPr>
        <w:pStyle w:val="ListParagraph"/>
        <w:numPr>
          <w:ilvl w:val="0"/>
          <w:numId w:val="22"/>
        </w:numPr>
        <w:spacing w:after="0" w:line="240" w:lineRule="auto"/>
        <w:jc w:val="both"/>
        <w:rPr>
          <w:sz w:val="20"/>
          <w:szCs w:val="20"/>
          <w:lang w:val="fr-CH"/>
        </w:rPr>
      </w:pPr>
      <w:r w:rsidRPr="00EE602F">
        <w:rPr>
          <w:sz w:val="20"/>
          <w:szCs w:val="20"/>
          <w:lang w:val="fr-CH"/>
        </w:rPr>
        <w:t>Afin d’éviter une forme de dépendance de la r</w:t>
      </w:r>
      <w:r>
        <w:rPr>
          <w:sz w:val="20"/>
          <w:szCs w:val="20"/>
          <w:lang w:val="fr-CH"/>
        </w:rPr>
        <w:t>é</w:t>
      </w:r>
      <w:r w:rsidRPr="00EE602F">
        <w:rPr>
          <w:sz w:val="20"/>
          <w:szCs w:val="20"/>
          <w:lang w:val="fr-CH"/>
        </w:rPr>
        <w:t xml:space="preserve">gion </w:t>
      </w:r>
      <w:r>
        <w:rPr>
          <w:sz w:val="20"/>
          <w:szCs w:val="20"/>
          <w:lang w:val="fr-CH"/>
        </w:rPr>
        <w:t xml:space="preserve">autonome, les </w:t>
      </w:r>
      <w:r w:rsidRPr="008E0D65">
        <w:rPr>
          <w:b/>
          <w:sz w:val="20"/>
          <w:szCs w:val="20"/>
          <w:lang w:val="fr-CH"/>
        </w:rPr>
        <w:t xml:space="preserve">transferts d’assistance aux populations vulnérables </w:t>
      </w:r>
      <w:r>
        <w:rPr>
          <w:sz w:val="20"/>
          <w:szCs w:val="20"/>
          <w:lang w:val="fr-CH"/>
        </w:rPr>
        <w:t>doivent prévoir des conditionnalités et une responsabilité des bénéfic</w:t>
      </w:r>
      <w:r w:rsidR="00EE24BC">
        <w:rPr>
          <w:sz w:val="20"/>
          <w:szCs w:val="20"/>
          <w:lang w:val="fr-CH"/>
        </w:rPr>
        <w:t>i</w:t>
      </w:r>
      <w:r>
        <w:rPr>
          <w:sz w:val="20"/>
          <w:szCs w:val="20"/>
          <w:lang w:val="fr-CH"/>
        </w:rPr>
        <w:t>aires</w:t>
      </w:r>
      <w:r w:rsidR="00EE24BC">
        <w:rPr>
          <w:sz w:val="20"/>
          <w:szCs w:val="20"/>
          <w:lang w:val="fr-CH"/>
        </w:rPr>
        <w:t xml:space="preserve"> mais aussi favoriser le développement des capacités </w:t>
      </w:r>
      <w:r w:rsidR="008E0D65">
        <w:rPr>
          <w:sz w:val="20"/>
          <w:szCs w:val="20"/>
          <w:lang w:val="fr-CH"/>
        </w:rPr>
        <w:t xml:space="preserve">locales </w:t>
      </w:r>
      <w:r w:rsidR="00EE24BC">
        <w:rPr>
          <w:sz w:val="20"/>
          <w:szCs w:val="20"/>
          <w:lang w:val="fr-CH"/>
        </w:rPr>
        <w:t>par l’éducation et la formation professionnelle.</w:t>
      </w:r>
    </w:p>
    <w:p w:rsidR="00EE24BC" w:rsidRPr="0045541B" w:rsidRDefault="00EE24BC" w:rsidP="005E19E1">
      <w:pPr>
        <w:pStyle w:val="ListParagraph"/>
        <w:numPr>
          <w:ilvl w:val="0"/>
          <w:numId w:val="22"/>
        </w:numPr>
        <w:spacing w:after="0" w:line="240" w:lineRule="auto"/>
        <w:jc w:val="both"/>
        <w:rPr>
          <w:sz w:val="20"/>
          <w:szCs w:val="20"/>
          <w:lang w:val="fr-CH"/>
        </w:rPr>
      </w:pPr>
      <w:r w:rsidRPr="00EE24BC">
        <w:rPr>
          <w:sz w:val="20"/>
          <w:szCs w:val="20"/>
          <w:lang w:val="fr-CH"/>
        </w:rPr>
        <w:t xml:space="preserve">Le modèle doit aussi, comme le montre l’action du Maroc au Sahara, inclure une dimension de protection du </w:t>
      </w:r>
      <w:r w:rsidRPr="008E0D65">
        <w:rPr>
          <w:b/>
          <w:sz w:val="20"/>
          <w:szCs w:val="20"/>
          <w:lang w:val="fr-CH"/>
        </w:rPr>
        <w:t>patrimoine culturel et de l’environnement</w:t>
      </w:r>
      <w:r w:rsidRPr="00EE24BC">
        <w:rPr>
          <w:sz w:val="20"/>
          <w:szCs w:val="20"/>
          <w:lang w:val="fr-CH"/>
        </w:rPr>
        <w:t xml:space="preserve"> ainsi que la promotion de l’égalité des genres.</w:t>
      </w:r>
    </w:p>
    <w:p w:rsidR="00600516" w:rsidRPr="00885517" w:rsidRDefault="00EE24BC" w:rsidP="005E19E1">
      <w:pPr>
        <w:pStyle w:val="ListParagraph"/>
        <w:numPr>
          <w:ilvl w:val="0"/>
          <w:numId w:val="22"/>
        </w:numPr>
        <w:spacing w:after="0" w:line="240" w:lineRule="auto"/>
        <w:jc w:val="both"/>
        <w:rPr>
          <w:sz w:val="20"/>
          <w:szCs w:val="20"/>
          <w:lang w:val="fr-CH"/>
        </w:rPr>
      </w:pPr>
      <w:r w:rsidRPr="00EE24BC">
        <w:rPr>
          <w:sz w:val="20"/>
          <w:szCs w:val="20"/>
          <w:lang w:val="fr-CH"/>
        </w:rPr>
        <w:t xml:space="preserve">L’expérience des Açores et de Madère au Portugal a montré que l’autonomie peut résulter à la fois d’une identité régionale forte et d’une identité nationale aussi forte. Un modèle de développement décentralisé n’exclut pas un </w:t>
      </w:r>
      <w:r w:rsidRPr="008E0D65">
        <w:rPr>
          <w:b/>
          <w:sz w:val="20"/>
          <w:szCs w:val="20"/>
          <w:lang w:val="fr-CH"/>
        </w:rPr>
        <w:t>investissement de l’Etat central</w:t>
      </w:r>
      <w:r w:rsidRPr="00EE24BC">
        <w:rPr>
          <w:sz w:val="20"/>
          <w:szCs w:val="20"/>
          <w:lang w:val="fr-CH"/>
        </w:rPr>
        <w:t xml:space="preserve"> et permet aux </w:t>
      </w:r>
      <w:r>
        <w:rPr>
          <w:sz w:val="20"/>
          <w:szCs w:val="20"/>
          <w:lang w:val="fr-CH"/>
        </w:rPr>
        <w:t>ré</w:t>
      </w:r>
      <w:r w:rsidRPr="00EE24BC">
        <w:rPr>
          <w:sz w:val="20"/>
          <w:szCs w:val="20"/>
          <w:lang w:val="fr-CH"/>
        </w:rPr>
        <w:t xml:space="preserve">gions autonomes de </w:t>
      </w:r>
      <w:r w:rsidRPr="00EE24BC">
        <w:rPr>
          <w:sz w:val="20"/>
          <w:szCs w:val="20"/>
          <w:lang w:val="fr-CH"/>
        </w:rPr>
        <w:lastRenderedPageBreak/>
        <w:t xml:space="preserve">contribuer au plan national de </w:t>
      </w:r>
      <w:r w:rsidR="00600516" w:rsidRPr="00EE24BC">
        <w:rPr>
          <w:sz w:val="20"/>
          <w:szCs w:val="20"/>
          <w:lang w:val="fr-CH"/>
        </w:rPr>
        <w:t>d</w:t>
      </w:r>
      <w:r>
        <w:rPr>
          <w:sz w:val="20"/>
          <w:szCs w:val="20"/>
          <w:lang w:val="fr-CH"/>
        </w:rPr>
        <w:t>é</w:t>
      </w:r>
      <w:r w:rsidR="00600516" w:rsidRPr="00EE24BC">
        <w:rPr>
          <w:sz w:val="20"/>
          <w:szCs w:val="20"/>
          <w:lang w:val="fr-CH"/>
        </w:rPr>
        <w:t>velop</w:t>
      </w:r>
      <w:r>
        <w:rPr>
          <w:sz w:val="20"/>
          <w:szCs w:val="20"/>
          <w:lang w:val="fr-CH"/>
        </w:rPr>
        <w:t>pe</w:t>
      </w:r>
      <w:r w:rsidR="00600516" w:rsidRPr="00EE24BC">
        <w:rPr>
          <w:sz w:val="20"/>
          <w:szCs w:val="20"/>
          <w:lang w:val="fr-CH"/>
        </w:rPr>
        <w:t xml:space="preserve">ment. </w:t>
      </w:r>
      <w:r w:rsidRPr="00885517">
        <w:rPr>
          <w:sz w:val="20"/>
          <w:szCs w:val="20"/>
          <w:lang w:val="fr-CH"/>
        </w:rPr>
        <w:t>La</w:t>
      </w:r>
      <w:r w:rsidR="00600516" w:rsidRPr="00885517">
        <w:rPr>
          <w:sz w:val="20"/>
          <w:szCs w:val="20"/>
          <w:lang w:val="fr-CH"/>
        </w:rPr>
        <w:t xml:space="preserve"> Constitution </w:t>
      </w:r>
      <w:r w:rsidR="00885517" w:rsidRPr="00885517">
        <w:rPr>
          <w:sz w:val="20"/>
          <w:szCs w:val="20"/>
          <w:lang w:val="fr-CH"/>
        </w:rPr>
        <w:t xml:space="preserve">nationale </w:t>
      </w:r>
      <w:r w:rsidR="00600516" w:rsidRPr="00885517">
        <w:rPr>
          <w:sz w:val="20"/>
          <w:szCs w:val="20"/>
          <w:lang w:val="fr-CH"/>
        </w:rPr>
        <w:t xml:space="preserve">identifie </w:t>
      </w:r>
      <w:r w:rsidRPr="00885517">
        <w:rPr>
          <w:sz w:val="20"/>
          <w:szCs w:val="20"/>
          <w:lang w:val="fr-CH"/>
        </w:rPr>
        <w:t>le développement</w:t>
      </w:r>
      <w:r w:rsidR="00600516" w:rsidRPr="00885517">
        <w:rPr>
          <w:sz w:val="20"/>
          <w:szCs w:val="20"/>
          <w:lang w:val="fr-CH"/>
        </w:rPr>
        <w:t xml:space="preserve"> social </w:t>
      </w:r>
      <w:r w:rsidRPr="00885517">
        <w:rPr>
          <w:sz w:val="20"/>
          <w:szCs w:val="20"/>
          <w:lang w:val="fr-CH"/>
        </w:rPr>
        <w:t>et</w:t>
      </w:r>
      <w:r w:rsidR="00600516" w:rsidRPr="00885517">
        <w:rPr>
          <w:sz w:val="20"/>
          <w:szCs w:val="20"/>
          <w:lang w:val="fr-CH"/>
        </w:rPr>
        <w:t xml:space="preserve"> </w:t>
      </w:r>
      <w:r w:rsidRPr="00885517">
        <w:rPr>
          <w:sz w:val="20"/>
          <w:szCs w:val="20"/>
          <w:lang w:val="fr-CH"/>
        </w:rPr>
        <w:t>é</w:t>
      </w:r>
      <w:r w:rsidR="00600516" w:rsidRPr="00885517">
        <w:rPr>
          <w:sz w:val="20"/>
          <w:szCs w:val="20"/>
          <w:lang w:val="fr-CH"/>
        </w:rPr>
        <w:t>conomi</w:t>
      </w:r>
      <w:r w:rsidRPr="00885517">
        <w:rPr>
          <w:sz w:val="20"/>
          <w:szCs w:val="20"/>
          <w:lang w:val="fr-CH"/>
        </w:rPr>
        <w:t>que de ces régions comme l’un des</w:t>
      </w:r>
      <w:r w:rsidR="00600516" w:rsidRPr="00885517">
        <w:rPr>
          <w:sz w:val="20"/>
          <w:szCs w:val="20"/>
          <w:lang w:val="fr-CH"/>
        </w:rPr>
        <w:t xml:space="preserve"> </w:t>
      </w:r>
      <w:r w:rsidRPr="00885517">
        <w:rPr>
          <w:sz w:val="20"/>
          <w:szCs w:val="20"/>
          <w:lang w:val="fr-CH"/>
        </w:rPr>
        <w:t xml:space="preserve">objectifs </w:t>
      </w:r>
      <w:r w:rsidR="00600516" w:rsidRPr="00885517">
        <w:rPr>
          <w:sz w:val="20"/>
          <w:szCs w:val="20"/>
          <w:lang w:val="fr-CH"/>
        </w:rPr>
        <w:t>f</w:t>
      </w:r>
      <w:r w:rsidRPr="00885517">
        <w:rPr>
          <w:sz w:val="20"/>
          <w:szCs w:val="20"/>
          <w:lang w:val="fr-CH"/>
        </w:rPr>
        <w:t>o</w:t>
      </w:r>
      <w:r w:rsidR="00600516" w:rsidRPr="00885517">
        <w:rPr>
          <w:sz w:val="20"/>
          <w:szCs w:val="20"/>
          <w:lang w:val="fr-CH"/>
        </w:rPr>
        <w:t>ndament</w:t>
      </w:r>
      <w:r w:rsidRPr="00885517">
        <w:rPr>
          <w:sz w:val="20"/>
          <w:szCs w:val="20"/>
          <w:lang w:val="fr-CH"/>
        </w:rPr>
        <w:t>aux</w:t>
      </w:r>
      <w:r w:rsidR="00600516" w:rsidRPr="00885517">
        <w:rPr>
          <w:sz w:val="20"/>
          <w:szCs w:val="20"/>
          <w:lang w:val="fr-CH"/>
        </w:rPr>
        <w:t xml:space="preserve"> </w:t>
      </w:r>
      <w:r w:rsidR="00885517" w:rsidRPr="00885517">
        <w:rPr>
          <w:sz w:val="20"/>
          <w:szCs w:val="20"/>
          <w:lang w:val="fr-CH"/>
        </w:rPr>
        <w:t xml:space="preserve">de leur </w:t>
      </w:r>
      <w:r w:rsidR="00600516" w:rsidRPr="00885517">
        <w:rPr>
          <w:sz w:val="20"/>
          <w:szCs w:val="20"/>
          <w:lang w:val="fr-CH"/>
        </w:rPr>
        <w:t>autonomi</w:t>
      </w:r>
      <w:r w:rsidR="00885517">
        <w:rPr>
          <w:sz w:val="20"/>
          <w:szCs w:val="20"/>
          <w:lang w:val="fr-CH"/>
        </w:rPr>
        <w:t>e.</w:t>
      </w:r>
    </w:p>
    <w:p w:rsidR="00885517" w:rsidRPr="00885517" w:rsidRDefault="00885517" w:rsidP="005E19E1">
      <w:pPr>
        <w:pStyle w:val="ListParagraph"/>
        <w:numPr>
          <w:ilvl w:val="0"/>
          <w:numId w:val="22"/>
        </w:numPr>
        <w:spacing w:after="0" w:line="240" w:lineRule="auto"/>
        <w:jc w:val="both"/>
        <w:rPr>
          <w:sz w:val="20"/>
          <w:szCs w:val="20"/>
          <w:lang w:val="fr-CH"/>
        </w:rPr>
      </w:pPr>
      <w:r w:rsidRPr="00885517">
        <w:rPr>
          <w:sz w:val="20"/>
          <w:szCs w:val="20"/>
          <w:lang w:val="fr-CH"/>
        </w:rPr>
        <w:t xml:space="preserve">Le </w:t>
      </w:r>
      <w:r>
        <w:rPr>
          <w:sz w:val="20"/>
          <w:szCs w:val="20"/>
          <w:lang w:val="fr-CH"/>
        </w:rPr>
        <w:t>développement</w:t>
      </w:r>
      <w:r w:rsidRPr="00885517">
        <w:rPr>
          <w:sz w:val="20"/>
          <w:szCs w:val="20"/>
          <w:lang w:val="fr-CH"/>
        </w:rPr>
        <w:t xml:space="preserve"> durable à long terme de </w:t>
      </w:r>
      <w:r>
        <w:rPr>
          <w:sz w:val="20"/>
          <w:szCs w:val="20"/>
          <w:lang w:val="fr-CH"/>
        </w:rPr>
        <w:t xml:space="preserve">régions </w:t>
      </w:r>
      <w:r w:rsidRPr="00885517">
        <w:rPr>
          <w:sz w:val="20"/>
          <w:szCs w:val="20"/>
          <w:lang w:val="fr-CH"/>
        </w:rPr>
        <w:t>autonome</w:t>
      </w:r>
      <w:r>
        <w:rPr>
          <w:sz w:val="20"/>
          <w:szCs w:val="20"/>
          <w:lang w:val="fr-CH"/>
        </w:rPr>
        <w:t xml:space="preserve">s telles que le Kurdistan irakien dépend de plusieurs facteurs : la délimitation claire et acceptée des </w:t>
      </w:r>
      <w:r w:rsidRPr="008E0D65">
        <w:rPr>
          <w:b/>
          <w:sz w:val="20"/>
          <w:szCs w:val="20"/>
          <w:lang w:val="fr-CH"/>
        </w:rPr>
        <w:t>limites territoriales</w:t>
      </w:r>
      <w:r>
        <w:rPr>
          <w:sz w:val="20"/>
          <w:szCs w:val="20"/>
          <w:lang w:val="fr-CH"/>
        </w:rPr>
        <w:t xml:space="preserve">, la répartition juste des </w:t>
      </w:r>
      <w:r w:rsidRPr="008E0D65">
        <w:rPr>
          <w:b/>
          <w:sz w:val="20"/>
          <w:szCs w:val="20"/>
          <w:lang w:val="fr-CH"/>
        </w:rPr>
        <w:t>ressources naturelles</w:t>
      </w:r>
      <w:r>
        <w:rPr>
          <w:sz w:val="20"/>
          <w:szCs w:val="20"/>
          <w:lang w:val="fr-CH"/>
        </w:rPr>
        <w:t xml:space="preserve">, les compétences attribuées aux </w:t>
      </w:r>
      <w:r w:rsidRPr="008E0D65">
        <w:rPr>
          <w:b/>
          <w:sz w:val="20"/>
          <w:szCs w:val="20"/>
          <w:lang w:val="fr-CH"/>
        </w:rPr>
        <w:t>forces de sécurité</w:t>
      </w:r>
      <w:r>
        <w:rPr>
          <w:sz w:val="20"/>
          <w:szCs w:val="20"/>
          <w:lang w:val="fr-CH"/>
        </w:rPr>
        <w:t>, les capaci</w:t>
      </w:r>
      <w:r w:rsidR="00600516" w:rsidRPr="00885517">
        <w:rPr>
          <w:sz w:val="20"/>
          <w:szCs w:val="20"/>
          <w:lang w:val="fr-CH"/>
        </w:rPr>
        <w:t>t</w:t>
      </w:r>
      <w:r>
        <w:rPr>
          <w:sz w:val="20"/>
          <w:szCs w:val="20"/>
          <w:lang w:val="fr-CH"/>
        </w:rPr>
        <w:t xml:space="preserve">és au sein de </w:t>
      </w:r>
      <w:r w:rsidRPr="008E0D65">
        <w:rPr>
          <w:b/>
          <w:sz w:val="20"/>
          <w:szCs w:val="20"/>
          <w:lang w:val="fr-CH"/>
        </w:rPr>
        <w:t>l’administration régionale</w:t>
      </w:r>
      <w:r>
        <w:rPr>
          <w:sz w:val="20"/>
          <w:szCs w:val="20"/>
          <w:lang w:val="fr-CH"/>
        </w:rPr>
        <w:t xml:space="preserve">, et la </w:t>
      </w:r>
      <w:r w:rsidRPr="008E0D65">
        <w:rPr>
          <w:b/>
          <w:sz w:val="20"/>
          <w:szCs w:val="20"/>
          <w:lang w:val="fr-CH"/>
        </w:rPr>
        <w:t>confiance mutuelle</w:t>
      </w:r>
      <w:r>
        <w:rPr>
          <w:sz w:val="20"/>
          <w:szCs w:val="20"/>
          <w:lang w:val="fr-CH"/>
        </w:rPr>
        <w:t xml:space="preserve"> entre les autorités régionales et centrales.</w:t>
      </w:r>
    </w:p>
    <w:p w:rsidR="00600516" w:rsidRPr="0092592E" w:rsidRDefault="00885517" w:rsidP="005E19E1">
      <w:pPr>
        <w:pStyle w:val="ListParagraph"/>
        <w:numPr>
          <w:ilvl w:val="0"/>
          <w:numId w:val="22"/>
        </w:numPr>
        <w:spacing w:after="0" w:line="240" w:lineRule="auto"/>
        <w:jc w:val="both"/>
        <w:rPr>
          <w:sz w:val="20"/>
          <w:szCs w:val="20"/>
          <w:lang w:val="fr-CH"/>
        </w:rPr>
      </w:pPr>
      <w:r w:rsidRPr="00885517">
        <w:rPr>
          <w:sz w:val="20"/>
          <w:szCs w:val="20"/>
          <w:lang w:val="fr-CH"/>
        </w:rPr>
        <w:t xml:space="preserve">Comme l’a montré l’exemple </w:t>
      </w:r>
      <w:r w:rsidR="008E0D65">
        <w:rPr>
          <w:sz w:val="20"/>
          <w:szCs w:val="20"/>
          <w:lang w:val="fr-CH"/>
        </w:rPr>
        <w:t>d</w:t>
      </w:r>
      <w:r w:rsidRPr="00885517">
        <w:rPr>
          <w:sz w:val="20"/>
          <w:szCs w:val="20"/>
          <w:lang w:val="fr-CH"/>
        </w:rPr>
        <w:t>u Mindanao musulman aux Philippines</w:t>
      </w:r>
      <w:r w:rsidR="00600516" w:rsidRPr="00885517">
        <w:rPr>
          <w:sz w:val="20"/>
          <w:szCs w:val="20"/>
          <w:lang w:val="fr-CH"/>
        </w:rPr>
        <w:t xml:space="preserve">, </w:t>
      </w:r>
      <w:r w:rsidRPr="00885517">
        <w:rPr>
          <w:sz w:val="20"/>
          <w:szCs w:val="20"/>
          <w:lang w:val="fr-CH"/>
        </w:rPr>
        <w:t>il importe pour l’avenir économique de la r</w:t>
      </w:r>
      <w:r w:rsidR="0092592E">
        <w:rPr>
          <w:sz w:val="20"/>
          <w:szCs w:val="20"/>
          <w:lang w:val="fr-CH"/>
        </w:rPr>
        <w:t>é</w:t>
      </w:r>
      <w:r w:rsidRPr="00885517">
        <w:rPr>
          <w:sz w:val="20"/>
          <w:szCs w:val="20"/>
          <w:lang w:val="fr-CH"/>
        </w:rPr>
        <w:t xml:space="preserve">gion autonome que l’accord fondateur inclue des dispositions précises sur </w:t>
      </w:r>
      <w:r>
        <w:rPr>
          <w:sz w:val="20"/>
          <w:szCs w:val="20"/>
          <w:lang w:val="fr-CH"/>
        </w:rPr>
        <w:t xml:space="preserve">la </w:t>
      </w:r>
      <w:r w:rsidRPr="008E0D65">
        <w:rPr>
          <w:b/>
          <w:sz w:val="20"/>
          <w:szCs w:val="20"/>
          <w:lang w:val="fr-CH"/>
        </w:rPr>
        <w:t>répartition des compétences</w:t>
      </w:r>
      <w:r w:rsidR="00600516" w:rsidRPr="00885517">
        <w:rPr>
          <w:sz w:val="20"/>
          <w:szCs w:val="20"/>
          <w:lang w:val="fr-CH"/>
        </w:rPr>
        <w:t xml:space="preserve">, </w:t>
      </w:r>
      <w:r>
        <w:rPr>
          <w:sz w:val="20"/>
          <w:szCs w:val="20"/>
          <w:lang w:val="fr-CH"/>
        </w:rPr>
        <w:t xml:space="preserve">les mécanismes transitoires, le partage des ressources, </w:t>
      </w:r>
      <w:r w:rsidR="0092592E">
        <w:rPr>
          <w:sz w:val="20"/>
          <w:szCs w:val="20"/>
          <w:lang w:val="fr-CH"/>
        </w:rPr>
        <w:t>et les mécanismes de négociation et de dialogue permanent pour harmoniser les processus de développement.</w:t>
      </w:r>
    </w:p>
    <w:p w:rsidR="00600516" w:rsidRPr="0092592E" w:rsidRDefault="0092592E" w:rsidP="005E19E1">
      <w:pPr>
        <w:pStyle w:val="NormalWeb"/>
        <w:numPr>
          <w:ilvl w:val="0"/>
          <w:numId w:val="22"/>
        </w:numPr>
        <w:spacing w:before="0" w:beforeAutospacing="0" w:after="0" w:afterAutospacing="0"/>
        <w:jc w:val="both"/>
        <w:rPr>
          <w:rFonts w:asciiTheme="minorHAnsi" w:hAnsiTheme="minorHAnsi"/>
          <w:sz w:val="20"/>
          <w:szCs w:val="20"/>
        </w:rPr>
      </w:pPr>
      <w:r w:rsidRPr="0092592E">
        <w:rPr>
          <w:rFonts w:asciiTheme="minorHAnsi" w:hAnsiTheme="minorHAnsi"/>
          <w:sz w:val="20"/>
          <w:szCs w:val="20"/>
        </w:rPr>
        <w:t>Enfin, comme dans le cas de la Wallonie en Belgique, la clé du succès dans le développement économique</w:t>
      </w:r>
      <w:r>
        <w:rPr>
          <w:rFonts w:asciiTheme="minorHAnsi" w:hAnsiTheme="minorHAnsi"/>
          <w:sz w:val="20"/>
          <w:szCs w:val="20"/>
        </w:rPr>
        <w:t xml:space="preserve"> réside dans les </w:t>
      </w:r>
      <w:r w:rsidRPr="008E0D65">
        <w:rPr>
          <w:rFonts w:asciiTheme="minorHAnsi" w:hAnsiTheme="minorHAnsi"/>
          <w:b/>
          <w:sz w:val="20"/>
          <w:szCs w:val="20"/>
        </w:rPr>
        <w:t>institutions politiques</w:t>
      </w:r>
      <w:r>
        <w:rPr>
          <w:rFonts w:asciiTheme="minorHAnsi" w:hAnsiTheme="minorHAnsi"/>
          <w:sz w:val="20"/>
          <w:szCs w:val="20"/>
        </w:rPr>
        <w:t xml:space="preserve"> qui assurent la légitimité démocratique des autorités régionales et leur confère le pouvoir de gérer les secteurs de l’économie dévolus à la région et de rendre compte à leurs citoyens.</w:t>
      </w:r>
    </w:p>
    <w:p w:rsidR="00701885" w:rsidRPr="0045541B" w:rsidRDefault="00701885" w:rsidP="00EE602F">
      <w:pPr>
        <w:pBdr>
          <w:top w:val="nil"/>
          <w:left w:val="nil"/>
          <w:bottom w:val="nil"/>
          <w:right w:val="nil"/>
          <w:between w:val="nil"/>
          <w:bar w:val="nil"/>
        </w:pBdr>
        <w:spacing w:after="0" w:line="240" w:lineRule="auto"/>
        <w:jc w:val="both"/>
        <w:rPr>
          <w:rFonts w:eastAsia="Arial" w:cs="Arial"/>
          <w:color w:val="000000" w:themeColor="text1"/>
          <w:sz w:val="20"/>
          <w:szCs w:val="20"/>
          <w:lang w:val="fr-CH"/>
        </w:rPr>
      </w:pPr>
    </w:p>
    <w:p w:rsidR="00701885" w:rsidRDefault="00724E18" w:rsidP="00D97333">
      <w:pPr>
        <w:pBdr>
          <w:top w:val="nil"/>
          <w:left w:val="nil"/>
          <w:bottom w:val="nil"/>
          <w:right w:val="nil"/>
          <w:between w:val="nil"/>
          <w:bar w:val="nil"/>
        </w:pBdr>
        <w:spacing w:after="0" w:line="240" w:lineRule="auto"/>
        <w:jc w:val="both"/>
        <w:rPr>
          <w:rFonts w:cs="Arial"/>
          <w:color w:val="000000" w:themeColor="text1"/>
          <w:sz w:val="20"/>
          <w:szCs w:val="20"/>
          <w:lang w:val="fr-CH"/>
        </w:rPr>
      </w:pPr>
      <w:r>
        <w:rPr>
          <w:rFonts w:cs="Arial"/>
          <w:color w:val="000000" w:themeColor="text1"/>
          <w:sz w:val="20"/>
          <w:szCs w:val="20"/>
          <w:lang w:val="fr-CH"/>
        </w:rPr>
        <w:t xml:space="preserve">7) </w:t>
      </w:r>
      <w:r w:rsidR="00701885" w:rsidRPr="00D97333">
        <w:rPr>
          <w:rFonts w:cs="Arial"/>
          <w:color w:val="000000" w:themeColor="text1"/>
          <w:sz w:val="20"/>
          <w:szCs w:val="20"/>
          <w:lang w:val="fr-CH"/>
        </w:rPr>
        <w:t xml:space="preserve">Le </w:t>
      </w:r>
      <w:r w:rsidR="00701885" w:rsidRPr="00D97333">
        <w:rPr>
          <w:rFonts w:cs="Arial"/>
          <w:b/>
          <w:bCs/>
          <w:color w:val="000000" w:themeColor="text1"/>
          <w:sz w:val="20"/>
          <w:szCs w:val="20"/>
          <w:lang w:val="fr-CH"/>
        </w:rPr>
        <w:t>30 juin 2014</w:t>
      </w:r>
      <w:r w:rsidR="00701885" w:rsidRPr="00D97333">
        <w:rPr>
          <w:rFonts w:cs="Arial"/>
          <w:color w:val="000000" w:themeColor="text1"/>
          <w:sz w:val="20"/>
          <w:szCs w:val="20"/>
          <w:lang w:val="fr-CH"/>
        </w:rPr>
        <w:t xml:space="preserve"> à New York sur «</w:t>
      </w:r>
      <w:r w:rsidR="00701885" w:rsidRPr="00D97333">
        <w:rPr>
          <w:rFonts w:cs="Arial"/>
          <w:color w:val="000000" w:themeColor="text1"/>
          <w:spacing w:val="7"/>
          <w:sz w:val="20"/>
          <w:szCs w:val="20"/>
          <w:lang w:val="fr-CH"/>
        </w:rPr>
        <w:t xml:space="preserve"> </w:t>
      </w:r>
      <w:r w:rsidR="00701885" w:rsidRPr="00724E18">
        <w:rPr>
          <w:rFonts w:cs="Arial"/>
          <w:b/>
          <w:color w:val="000000" w:themeColor="text1"/>
          <w:spacing w:val="1"/>
          <w:sz w:val="20"/>
          <w:szCs w:val="20"/>
          <w:lang w:val="fr-CH"/>
        </w:rPr>
        <w:t>Le</w:t>
      </w:r>
      <w:r w:rsidR="00701885" w:rsidRPr="00724E18">
        <w:rPr>
          <w:rFonts w:cs="Arial"/>
          <w:b/>
          <w:color w:val="000000" w:themeColor="text1"/>
          <w:sz w:val="20"/>
          <w:szCs w:val="20"/>
          <w:lang w:val="fr-CH"/>
        </w:rPr>
        <w:t>s</w:t>
      </w:r>
      <w:r w:rsidR="00701885" w:rsidRPr="00724E18">
        <w:rPr>
          <w:rFonts w:cs="Arial"/>
          <w:b/>
          <w:color w:val="000000" w:themeColor="text1"/>
          <w:spacing w:val="36"/>
          <w:sz w:val="20"/>
          <w:szCs w:val="20"/>
          <w:lang w:val="fr-CH"/>
        </w:rPr>
        <w:t xml:space="preserve"> </w:t>
      </w:r>
      <w:r w:rsidR="00701885" w:rsidRPr="00724E18">
        <w:rPr>
          <w:rFonts w:cs="Arial"/>
          <w:b/>
          <w:color w:val="000000" w:themeColor="text1"/>
          <w:spacing w:val="1"/>
          <w:sz w:val="20"/>
          <w:szCs w:val="20"/>
          <w:lang w:val="fr-CH"/>
        </w:rPr>
        <w:t>Co</w:t>
      </w:r>
      <w:r w:rsidR="00701885" w:rsidRPr="00724E18">
        <w:rPr>
          <w:rFonts w:cs="Arial"/>
          <w:b/>
          <w:color w:val="000000" w:themeColor="text1"/>
          <w:spacing w:val="2"/>
          <w:sz w:val="20"/>
          <w:szCs w:val="20"/>
          <w:lang w:val="fr-CH"/>
        </w:rPr>
        <w:t>mm</w:t>
      </w:r>
      <w:r w:rsidR="00701885" w:rsidRPr="00724E18">
        <w:rPr>
          <w:rFonts w:cs="Arial"/>
          <w:b/>
          <w:color w:val="000000" w:themeColor="text1"/>
          <w:sz w:val="20"/>
          <w:szCs w:val="20"/>
          <w:lang w:val="fr-CH"/>
        </w:rPr>
        <w:t>i</w:t>
      </w:r>
      <w:r w:rsidR="00701885" w:rsidRPr="00724E18">
        <w:rPr>
          <w:rFonts w:cs="Arial"/>
          <w:b/>
          <w:color w:val="000000" w:themeColor="text1"/>
          <w:spacing w:val="1"/>
          <w:sz w:val="20"/>
          <w:szCs w:val="20"/>
          <w:lang w:val="fr-CH"/>
        </w:rPr>
        <w:t>ss</w:t>
      </w:r>
      <w:r w:rsidR="00701885" w:rsidRPr="00724E18">
        <w:rPr>
          <w:rFonts w:cs="Arial"/>
          <w:b/>
          <w:color w:val="000000" w:themeColor="text1"/>
          <w:sz w:val="20"/>
          <w:szCs w:val="20"/>
          <w:lang w:val="fr-CH"/>
        </w:rPr>
        <w:t>i</w:t>
      </w:r>
      <w:r w:rsidR="00701885" w:rsidRPr="00724E18">
        <w:rPr>
          <w:rFonts w:cs="Arial"/>
          <w:b/>
          <w:color w:val="000000" w:themeColor="text1"/>
          <w:spacing w:val="1"/>
          <w:sz w:val="20"/>
          <w:szCs w:val="20"/>
          <w:lang w:val="fr-CH"/>
        </w:rPr>
        <w:t>on</w:t>
      </w:r>
      <w:r w:rsidR="00701885" w:rsidRPr="00724E18">
        <w:rPr>
          <w:rFonts w:cs="Arial"/>
          <w:b/>
          <w:color w:val="000000" w:themeColor="text1"/>
          <w:sz w:val="20"/>
          <w:szCs w:val="20"/>
          <w:lang w:val="fr-CH"/>
        </w:rPr>
        <w:t>s r</w:t>
      </w:r>
      <w:r w:rsidR="00701885" w:rsidRPr="00724E18">
        <w:rPr>
          <w:rFonts w:cs="Arial"/>
          <w:b/>
          <w:color w:val="000000" w:themeColor="text1"/>
          <w:spacing w:val="1"/>
          <w:sz w:val="20"/>
          <w:szCs w:val="20"/>
          <w:lang w:val="fr-CH"/>
        </w:rPr>
        <w:t>ég</w:t>
      </w:r>
      <w:r w:rsidR="00701885" w:rsidRPr="00724E18">
        <w:rPr>
          <w:rFonts w:cs="Arial"/>
          <w:b/>
          <w:color w:val="000000" w:themeColor="text1"/>
          <w:sz w:val="20"/>
          <w:szCs w:val="20"/>
          <w:lang w:val="fr-CH"/>
        </w:rPr>
        <w:t>i</w:t>
      </w:r>
      <w:r w:rsidR="00701885" w:rsidRPr="00724E18">
        <w:rPr>
          <w:rFonts w:cs="Arial"/>
          <w:b/>
          <w:color w:val="000000" w:themeColor="text1"/>
          <w:spacing w:val="1"/>
          <w:sz w:val="20"/>
          <w:szCs w:val="20"/>
          <w:lang w:val="fr-CH"/>
        </w:rPr>
        <w:t>ona</w:t>
      </w:r>
      <w:r w:rsidR="00701885" w:rsidRPr="00724E18">
        <w:rPr>
          <w:rFonts w:cs="Arial"/>
          <w:b/>
          <w:color w:val="000000" w:themeColor="text1"/>
          <w:sz w:val="20"/>
          <w:szCs w:val="20"/>
          <w:lang w:val="fr-CH"/>
        </w:rPr>
        <w:t>l</w:t>
      </w:r>
      <w:r w:rsidR="00701885" w:rsidRPr="00724E18">
        <w:rPr>
          <w:rFonts w:cs="Arial"/>
          <w:b/>
          <w:color w:val="000000" w:themeColor="text1"/>
          <w:spacing w:val="1"/>
          <w:sz w:val="20"/>
          <w:szCs w:val="20"/>
          <w:lang w:val="fr-CH"/>
        </w:rPr>
        <w:t>e</w:t>
      </w:r>
      <w:r w:rsidR="00701885" w:rsidRPr="00724E18">
        <w:rPr>
          <w:rFonts w:cs="Arial"/>
          <w:b/>
          <w:color w:val="000000" w:themeColor="text1"/>
          <w:sz w:val="20"/>
          <w:szCs w:val="20"/>
          <w:lang w:val="fr-CH"/>
        </w:rPr>
        <w:t xml:space="preserve">s </w:t>
      </w:r>
      <w:r w:rsidR="00701885" w:rsidRPr="00724E18">
        <w:rPr>
          <w:rFonts w:cs="Arial"/>
          <w:b/>
          <w:color w:val="000000" w:themeColor="text1"/>
          <w:spacing w:val="1"/>
          <w:sz w:val="20"/>
          <w:szCs w:val="20"/>
          <w:lang w:val="fr-CH"/>
        </w:rPr>
        <w:t>de</w:t>
      </w:r>
      <w:r w:rsidR="00701885" w:rsidRPr="00724E18">
        <w:rPr>
          <w:rFonts w:cs="Arial"/>
          <w:b/>
          <w:color w:val="000000" w:themeColor="text1"/>
          <w:sz w:val="20"/>
          <w:szCs w:val="20"/>
          <w:lang w:val="fr-CH"/>
        </w:rPr>
        <w:t>s</w:t>
      </w:r>
      <w:r w:rsidR="00701885" w:rsidRPr="00724E18">
        <w:rPr>
          <w:rFonts w:cs="Arial"/>
          <w:b/>
          <w:color w:val="000000" w:themeColor="text1"/>
          <w:spacing w:val="36"/>
          <w:sz w:val="20"/>
          <w:szCs w:val="20"/>
          <w:lang w:val="fr-CH"/>
        </w:rPr>
        <w:t xml:space="preserve"> </w:t>
      </w:r>
      <w:r w:rsidR="00701885" w:rsidRPr="00724E18">
        <w:rPr>
          <w:rFonts w:cs="Arial"/>
          <w:b/>
          <w:color w:val="000000" w:themeColor="text1"/>
          <w:spacing w:val="1"/>
          <w:sz w:val="20"/>
          <w:szCs w:val="20"/>
          <w:lang w:val="fr-CH"/>
        </w:rPr>
        <w:t>Conse</w:t>
      </w:r>
      <w:r w:rsidR="00701885" w:rsidRPr="00724E18">
        <w:rPr>
          <w:rFonts w:cs="Arial"/>
          <w:b/>
          <w:color w:val="000000" w:themeColor="text1"/>
          <w:sz w:val="20"/>
          <w:szCs w:val="20"/>
          <w:lang w:val="fr-CH"/>
        </w:rPr>
        <w:t>ils</w:t>
      </w:r>
      <w:r w:rsidR="00701885" w:rsidRPr="00724E18">
        <w:rPr>
          <w:rFonts w:cs="Arial"/>
          <w:b/>
          <w:color w:val="000000" w:themeColor="text1"/>
          <w:spacing w:val="47"/>
          <w:sz w:val="20"/>
          <w:szCs w:val="20"/>
          <w:lang w:val="fr-CH"/>
        </w:rPr>
        <w:t xml:space="preserve"> </w:t>
      </w:r>
      <w:r w:rsidR="00701885" w:rsidRPr="00724E18">
        <w:rPr>
          <w:rFonts w:cs="Arial"/>
          <w:b/>
          <w:color w:val="000000" w:themeColor="text1"/>
          <w:spacing w:val="1"/>
          <w:sz w:val="20"/>
          <w:szCs w:val="20"/>
          <w:lang w:val="fr-CH"/>
        </w:rPr>
        <w:t>na</w:t>
      </w:r>
      <w:r w:rsidR="00701885" w:rsidRPr="00724E18">
        <w:rPr>
          <w:rFonts w:cs="Arial"/>
          <w:b/>
          <w:color w:val="000000" w:themeColor="text1"/>
          <w:sz w:val="20"/>
          <w:szCs w:val="20"/>
          <w:lang w:val="fr-CH"/>
        </w:rPr>
        <w:t>ti</w:t>
      </w:r>
      <w:r w:rsidR="00701885" w:rsidRPr="00724E18">
        <w:rPr>
          <w:rFonts w:cs="Arial"/>
          <w:b/>
          <w:color w:val="000000" w:themeColor="text1"/>
          <w:spacing w:val="1"/>
          <w:sz w:val="20"/>
          <w:szCs w:val="20"/>
          <w:lang w:val="fr-CH"/>
        </w:rPr>
        <w:t>onau</w:t>
      </w:r>
      <w:r w:rsidR="00701885" w:rsidRPr="00724E18">
        <w:rPr>
          <w:rFonts w:cs="Arial"/>
          <w:b/>
          <w:color w:val="000000" w:themeColor="text1"/>
          <w:sz w:val="20"/>
          <w:szCs w:val="20"/>
          <w:lang w:val="fr-CH"/>
        </w:rPr>
        <w:t>x</w:t>
      </w:r>
      <w:r w:rsidR="00701885" w:rsidRPr="00724E18">
        <w:rPr>
          <w:rFonts w:cs="Arial"/>
          <w:b/>
          <w:color w:val="000000" w:themeColor="text1"/>
          <w:spacing w:val="51"/>
          <w:sz w:val="20"/>
          <w:szCs w:val="20"/>
          <w:lang w:val="fr-CH"/>
        </w:rPr>
        <w:t xml:space="preserve"> </w:t>
      </w:r>
      <w:r w:rsidR="00701885" w:rsidRPr="00724E18">
        <w:rPr>
          <w:rFonts w:cs="Arial"/>
          <w:b/>
          <w:color w:val="000000" w:themeColor="text1"/>
          <w:spacing w:val="1"/>
          <w:sz w:val="20"/>
          <w:szCs w:val="20"/>
          <w:lang w:val="fr-CH"/>
        </w:rPr>
        <w:t>des d</w:t>
      </w:r>
      <w:r w:rsidR="00701885" w:rsidRPr="00724E18">
        <w:rPr>
          <w:rFonts w:cs="Arial"/>
          <w:b/>
          <w:color w:val="000000" w:themeColor="text1"/>
          <w:sz w:val="20"/>
          <w:szCs w:val="20"/>
          <w:lang w:val="fr-CH"/>
        </w:rPr>
        <w:t>r</w:t>
      </w:r>
      <w:r w:rsidR="00701885" w:rsidRPr="00724E18">
        <w:rPr>
          <w:rFonts w:cs="Arial"/>
          <w:b/>
          <w:color w:val="000000" w:themeColor="text1"/>
          <w:spacing w:val="1"/>
          <w:sz w:val="20"/>
          <w:szCs w:val="20"/>
          <w:lang w:val="fr-CH"/>
        </w:rPr>
        <w:t>o</w:t>
      </w:r>
      <w:r w:rsidR="00701885" w:rsidRPr="00724E18">
        <w:rPr>
          <w:rFonts w:cs="Arial"/>
          <w:b/>
          <w:color w:val="000000" w:themeColor="text1"/>
          <w:sz w:val="20"/>
          <w:szCs w:val="20"/>
          <w:lang w:val="fr-CH"/>
        </w:rPr>
        <w:t>its</w:t>
      </w:r>
      <w:r w:rsidR="00701885" w:rsidRPr="00724E18">
        <w:rPr>
          <w:rFonts w:cs="Arial"/>
          <w:b/>
          <w:color w:val="000000" w:themeColor="text1"/>
          <w:spacing w:val="33"/>
          <w:sz w:val="20"/>
          <w:szCs w:val="20"/>
          <w:lang w:val="fr-CH"/>
        </w:rPr>
        <w:t xml:space="preserve"> </w:t>
      </w:r>
      <w:r w:rsidR="00701885" w:rsidRPr="00724E18">
        <w:rPr>
          <w:rFonts w:cs="Arial"/>
          <w:b/>
          <w:color w:val="000000" w:themeColor="text1"/>
          <w:spacing w:val="1"/>
          <w:sz w:val="20"/>
          <w:szCs w:val="20"/>
          <w:lang w:val="fr-CH"/>
        </w:rPr>
        <w:t>d</w:t>
      </w:r>
      <w:r w:rsidR="00701885" w:rsidRPr="00724E18">
        <w:rPr>
          <w:rFonts w:cs="Arial"/>
          <w:b/>
          <w:color w:val="000000" w:themeColor="text1"/>
          <w:sz w:val="20"/>
          <w:szCs w:val="20"/>
          <w:lang w:val="fr-CH"/>
        </w:rPr>
        <w:t>e</w:t>
      </w:r>
      <w:r w:rsidR="00701885" w:rsidRPr="00724E18">
        <w:rPr>
          <w:rFonts w:cs="Arial"/>
          <w:b/>
          <w:color w:val="000000" w:themeColor="text1"/>
          <w:spacing w:val="25"/>
          <w:sz w:val="20"/>
          <w:szCs w:val="20"/>
          <w:lang w:val="fr-CH"/>
        </w:rPr>
        <w:t xml:space="preserve"> </w:t>
      </w:r>
      <w:r w:rsidR="00701885" w:rsidRPr="00724E18">
        <w:rPr>
          <w:rFonts w:cs="Arial"/>
          <w:b/>
          <w:color w:val="000000" w:themeColor="text1"/>
          <w:sz w:val="20"/>
          <w:szCs w:val="20"/>
          <w:lang w:val="fr-CH"/>
        </w:rPr>
        <w:t>l’</w:t>
      </w:r>
      <w:r w:rsidR="00701885" w:rsidRPr="00724E18">
        <w:rPr>
          <w:rFonts w:cs="Arial"/>
          <w:b/>
          <w:color w:val="000000" w:themeColor="text1"/>
          <w:spacing w:val="1"/>
          <w:sz w:val="20"/>
          <w:szCs w:val="20"/>
          <w:lang w:val="fr-CH"/>
        </w:rPr>
        <w:t>Ho</w:t>
      </w:r>
      <w:r w:rsidR="00701885" w:rsidRPr="00724E18">
        <w:rPr>
          <w:rFonts w:cs="Arial"/>
          <w:b/>
          <w:color w:val="000000" w:themeColor="text1"/>
          <w:spacing w:val="2"/>
          <w:sz w:val="20"/>
          <w:szCs w:val="20"/>
          <w:lang w:val="fr-CH"/>
        </w:rPr>
        <w:t>mm</w:t>
      </w:r>
      <w:r w:rsidR="00701885" w:rsidRPr="00724E18">
        <w:rPr>
          <w:rFonts w:cs="Arial"/>
          <w:b/>
          <w:color w:val="000000" w:themeColor="text1"/>
          <w:sz w:val="20"/>
          <w:szCs w:val="20"/>
          <w:lang w:val="fr-CH"/>
        </w:rPr>
        <w:t>e</w:t>
      </w:r>
      <w:r w:rsidR="00701885" w:rsidRPr="00724E18">
        <w:rPr>
          <w:rFonts w:cs="Arial"/>
          <w:b/>
          <w:color w:val="000000" w:themeColor="text1"/>
          <w:spacing w:val="41"/>
          <w:sz w:val="20"/>
          <w:szCs w:val="20"/>
          <w:lang w:val="fr-CH"/>
        </w:rPr>
        <w:t xml:space="preserve"> </w:t>
      </w:r>
      <w:r w:rsidR="00701885" w:rsidRPr="00724E18">
        <w:rPr>
          <w:rFonts w:cs="Arial"/>
          <w:b/>
          <w:color w:val="000000" w:themeColor="text1"/>
          <w:spacing w:val="1"/>
          <w:sz w:val="20"/>
          <w:szCs w:val="20"/>
          <w:lang w:val="fr-CH"/>
        </w:rPr>
        <w:t>dan</w:t>
      </w:r>
      <w:r w:rsidR="00701885" w:rsidRPr="00724E18">
        <w:rPr>
          <w:rFonts w:cs="Arial"/>
          <w:b/>
          <w:color w:val="000000" w:themeColor="text1"/>
          <w:sz w:val="20"/>
          <w:szCs w:val="20"/>
          <w:lang w:val="fr-CH"/>
        </w:rPr>
        <w:t>s</w:t>
      </w:r>
      <w:r w:rsidR="00701885" w:rsidRPr="00724E18">
        <w:rPr>
          <w:rFonts w:cs="Arial"/>
          <w:b/>
          <w:color w:val="000000" w:themeColor="text1"/>
          <w:spacing w:val="31"/>
          <w:sz w:val="20"/>
          <w:szCs w:val="20"/>
          <w:lang w:val="fr-CH"/>
        </w:rPr>
        <w:t xml:space="preserve"> </w:t>
      </w:r>
      <w:r w:rsidR="00701885" w:rsidRPr="00724E18">
        <w:rPr>
          <w:rFonts w:cs="Arial"/>
          <w:b/>
          <w:color w:val="000000" w:themeColor="text1"/>
          <w:sz w:val="20"/>
          <w:szCs w:val="20"/>
          <w:lang w:val="fr-CH"/>
        </w:rPr>
        <w:t>l</w:t>
      </w:r>
      <w:r w:rsidR="00701885" w:rsidRPr="00724E18">
        <w:rPr>
          <w:rFonts w:cs="Arial"/>
          <w:b/>
          <w:color w:val="000000" w:themeColor="text1"/>
          <w:spacing w:val="1"/>
          <w:sz w:val="20"/>
          <w:szCs w:val="20"/>
          <w:lang w:val="fr-CH"/>
        </w:rPr>
        <w:t>e</w:t>
      </w:r>
      <w:r w:rsidR="00701885" w:rsidRPr="00724E18">
        <w:rPr>
          <w:rFonts w:cs="Arial"/>
          <w:b/>
          <w:color w:val="000000" w:themeColor="text1"/>
          <w:sz w:val="20"/>
          <w:szCs w:val="20"/>
          <w:lang w:val="fr-CH"/>
        </w:rPr>
        <w:t>s</w:t>
      </w:r>
      <w:r w:rsidR="00701885" w:rsidRPr="00724E18">
        <w:rPr>
          <w:rFonts w:cs="Arial"/>
          <w:b/>
          <w:color w:val="000000" w:themeColor="text1"/>
          <w:spacing w:val="26"/>
          <w:sz w:val="20"/>
          <w:szCs w:val="20"/>
          <w:lang w:val="fr-CH"/>
        </w:rPr>
        <w:t xml:space="preserve"> </w:t>
      </w:r>
      <w:r w:rsidR="00701885" w:rsidRPr="00724E18">
        <w:rPr>
          <w:rFonts w:cs="Arial"/>
          <w:b/>
          <w:color w:val="000000" w:themeColor="text1"/>
          <w:sz w:val="20"/>
          <w:szCs w:val="20"/>
          <w:lang w:val="fr-CH"/>
        </w:rPr>
        <w:t>r</w:t>
      </w:r>
      <w:r w:rsidR="00701885" w:rsidRPr="00724E18">
        <w:rPr>
          <w:rFonts w:cs="Arial"/>
          <w:b/>
          <w:color w:val="000000" w:themeColor="text1"/>
          <w:spacing w:val="1"/>
          <w:sz w:val="20"/>
          <w:szCs w:val="20"/>
          <w:lang w:val="fr-CH"/>
        </w:rPr>
        <w:t>ég</w:t>
      </w:r>
      <w:r w:rsidR="00701885" w:rsidRPr="00724E18">
        <w:rPr>
          <w:rFonts w:cs="Arial"/>
          <w:b/>
          <w:color w:val="000000" w:themeColor="text1"/>
          <w:sz w:val="20"/>
          <w:szCs w:val="20"/>
          <w:lang w:val="fr-CH"/>
        </w:rPr>
        <w:t>i</w:t>
      </w:r>
      <w:r w:rsidR="00701885" w:rsidRPr="00724E18">
        <w:rPr>
          <w:rFonts w:cs="Arial"/>
          <w:b/>
          <w:color w:val="000000" w:themeColor="text1"/>
          <w:spacing w:val="1"/>
          <w:sz w:val="20"/>
          <w:szCs w:val="20"/>
          <w:lang w:val="fr-CH"/>
        </w:rPr>
        <w:t>on</w:t>
      </w:r>
      <w:r w:rsidR="00701885" w:rsidRPr="00724E18">
        <w:rPr>
          <w:rFonts w:cs="Arial"/>
          <w:b/>
          <w:color w:val="000000" w:themeColor="text1"/>
          <w:sz w:val="20"/>
          <w:szCs w:val="20"/>
          <w:lang w:val="fr-CH"/>
        </w:rPr>
        <w:t>s</w:t>
      </w:r>
      <w:r w:rsidR="00701885" w:rsidRPr="00724E18">
        <w:rPr>
          <w:rFonts w:cs="Arial"/>
          <w:b/>
          <w:color w:val="000000" w:themeColor="text1"/>
          <w:spacing w:val="38"/>
          <w:sz w:val="20"/>
          <w:szCs w:val="20"/>
          <w:lang w:val="fr-CH"/>
        </w:rPr>
        <w:t xml:space="preserve"> </w:t>
      </w:r>
      <w:r w:rsidR="00701885" w:rsidRPr="00724E18">
        <w:rPr>
          <w:rFonts w:cs="Arial"/>
          <w:b/>
          <w:color w:val="000000" w:themeColor="text1"/>
          <w:spacing w:val="1"/>
          <w:sz w:val="20"/>
          <w:szCs w:val="20"/>
          <w:lang w:val="fr-CH"/>
        </w:rPr>
        <w:t>au</w:t>
      </w:r>
      <w:r w:rsidR="00701885" w:rsidRPr="00724E18">
        <w:rPr>
          <w:rFonts w:cs="Arial"/>
          <w:b/>
          <w:color w:val="000000" w:themeColor="text1"/>
          <w:sz w:val="20"/>
          <w:szCs w:val="20"/>
          <w:lang w:val="fr-CH"/>
        </w:rPr>
        <w:t>t</w:t>
      </w:r>
      <w:r w:rsidR="00701885" w:rsidRPr="00724E18">
        <w:rPr>
          <w:rFonts w:cs="Arial"/>
          <w:b/>
          <w:color w:val="000000" w:themeColor="text1"/>
          <w:spacing w:val="1"/>
          <w:sz w:val="20"/>
          <w:szCs w:val="20"/>
          <w:lang w:val="fr-CH"/>
        </w:rPr>
        <w:t>ono</w:t>
      </w:r>
      <w:r w:rsidR="00701885" w:rsidRPr="00724E18">
        <w:rPr>
          <w:rFonts w:cs="Arial"/>
          <w:b/>
          <w:color w:val="000000" w:themeColor="text1"/>
          <w:spacing w:val="2"/>
          <w:sz w:val="20"/>
          <w:szCs w:val="20"/>
          <w:lang w:val="fr-CH"/>
        </w:rPr>
        <w:t>m</w:t>
      </w:r>
      <w:r w:rsidR="00701885" w:rsidRPr="00724E18">
        <w:rPr>
          <w:rFonts w:cs="Arial"/>
          <w:b/>
          <w:color w:val="000000" w:themeColor="text1"/>
          <w:spacing w:val="1"/>
          <w:sz w:val="20"/>
          <w:szCs w:val="20"/>
          <w:lang w:val="fr-CH"/>
        </w:rPr>
        <w:t>e</w:t>
      </w:r>
      <w:r w:rsidR="00701885" w:rsidRPr="00724E18">
        <w:rPr>
          <w:rFonts w:cs="Arial"/>
          <w:b/>
          <w:color w:val="000000" w:themeColor="text1"/>
          <w:sz w:val="20"/>
          <w:szCs w:val="20"/>
          <w:lang w:val="fr-CH"/>
        </w:rPr>
        <w:t>s</w:t>
      </w:r>
      <w:r w:rsidR="00701885" w:rsidRPr="00724E18">
        <w:rPr>
          <w:rFonts w:cs="Arial"/>
          <w:b/>
          <w:color w:val="000000" w:themeColor="text1"/>
          <w:spacing w:val="31"/>
          <w:sz w:val="20"/>
          <w:szCs w:val="20"/>
          <w:lang w:val="fr-CH"/>
        </w:rPr>
        <w:t xml:space="preserve"> </w:t>
      </w:r>
      <w:r w:rsidR="00701885" w:rsidRPr="00724E18">
        <w:rPr>
          <w:rFonts w:cs="Arial"/>
          <w:b/>
          <w:color w:val="000000" w:themeColor="text1"/>
          <w:sz w:val="20"/>
          <w:szCs w:val="20"/>
          <w:lang w:val="fr-CH"/>
        </w:rPr>
        <w:t>:</w:t>
      </w:r>
      <w:r w:rsidR="00701885" w:rsidRPr="00724E18">
        <w:rPr>
          <w:rFonts w:cs="Arial"/>
          <w:b/>
          <w:color w:val="000000" w:themeColor="text1"/>
          <w:spacing w:val="20"/>
          <w:sz w:val="20"/>
          <w:szCs w:val="20"/>
          <w:lang w:val="fr-CH"/>
        </w:rPr>
        <w:t xml:space="preserve"> </w:t>
      </w:r>
      <w:r w:rsidR="00F530D3" w:rsidRPr="00724E18">
        <w:rPr>
          <w:rFonts w:cs="Arial"/>
          <w:b/>
          <w:color w:val="000000" w:themeColor="text1"/>
          <w:spacing w:val="20"/>
          <w:sz w:val="20"/>
          <w:szCs w:val="20"/>
          <w:lang w:val="fr-CH"/>
        </w:rPr>
        <w:t>b</w:t>
      </w:r>
      <w:r w:rsidR="00701885" w:rsidRPr="00724E18">
        <w:rPr>
          <w:rFonts w:cs="Arial"/>
          <w:b/>
          <w:color w:val="000000" w:themeColor="text1"/>
          <w:spacing w:val="1"/>
          <w:sz w:val="20"/>
          <w:szCs w:val="20"/>
          <w:lang w:val="fr-CH"/>
        </w:rPr>
        <w:t>onne</w:t>
      </w:r>
      <w:r w:rsidR="00701885" w:rsidRPr="00724E18">
        <w:rPr>
          <w:rFonts w:cs="Arial"/>
          <w:b/>
          <w:color w:val="000000" w:themeColor="text1"/>
          <w:sz w:val="20"/>
          <w:szCs w:val="20"/>
          <w:lang w:val="fr-CH"/>
        </w:rPr>
        <w:t>s</w:t>
      </w:r>
      <w:r w:rsidR="00701885" w:rsidRPr="00724E18">
        <w:rPr>
          <w:rFonts w:cs="Arial"/>
          <w:b/>
          <w:color w:val="000000" w:themeColor="text1"/>
          <w:spacing w:val="38"/>
          <w:sz w:val="20"/>
          <w:szCs w:val="20"/>
          <w:lang w:val="fr-CH"/>
        </w:rPr>
        <w:t xml:space="preserve"> </w:t>
      </w:r>
      <w:r w:rsidR="00701885" w:rsidRPr="00724E18">
        <w:rPr>
          <w:rFonts w:cs="Arial"/>
          <w:b/>
          <w:color w:val="000000" w:themeColor="text1"/>
          <w:spacing w:val="1"/>
          <w:sz w:val="20"/>
          <w:szCs w:val="20"/>
          <w:lang w:val="fr-CH"/>
        </w:rPr>
        <w:t>p</w:t>
      </w:r>
      <w:r w:rsidR="00701885" w:rsidRPr="00724E18">
        <w:rPr>
          <w:rFonts w:cs="Arial"/>
          <w:b/>
          <w:color w:val="000000" w:themeColor="text1"/>
          <w:sz w:val="20"/>
          <w:szCs w:val="20"/>
          <w:lang w:val="fr-CH"/>
        </w:rPr>
        <w:t>r</w:t>
      </w:r>
      <w:r w:rsidR="00701885" w:rsidRPr="00724E18">
        <w:rPr>
          <w:rFonts w:cs="Arial"/>
          <w:b/>
          <w:color w:val="000000" w:themeColor="text1"/>
          <w:spacing w:val="1"/>
          <w:sz w:val="20"/>
          <w:szCs w:val="20"/>
          <w:lang w:val="fr-CH"/>
        </w:rPr>
        <w:t>a</w:t>
      </w:r>
      <w:r w:rsidR="00701885" w:rsidRPr="00724E18">
        <w:rPr>
          <w:rFonts w:cs="Arial"/>
          <w:b/>
          <w:color w:val="000000" w:themeColor="text1"/>
          <w:sz w:val="20"/>
          <w:szCs w:val="20"/>
          <w:lang w:val="fr-CH"/>
        </w:rPr>
        <w:t>ti</w:t>
      </w:r>
      <w:r w:rsidR="00701885" w:rsidRPr="00724E18">
        <w:rPr>
          <w:rFonts w:cs="Arial"/>
          <w:b/>
          <w:color w:val="000000" w:themeColor="text1"/>
          <w:spacing w:val="1"/>
          <w:sz w:val="20"/>
          <w:szCs w:val="20"/>
          <w:lang w:val="fr-CH"/>
        </w:rPr>
        <w:t>que</w:t>
      </w:r>
      <w:r w:rsidR="00701885" w:rsidRPr="00724E18">
        <w:rPr>
          <w:rFonts w:cs="Arial"/>
          <w:b/>
          <w:color w:val="000000" w:themeColor="text1"/>
          <w:sz w:val="20"/>
          <w:szCs w:val="20"/>
          <w:lang w:val="fr-CH"/>
        </w:rPr>
        <w:t>s</w:t>
      </w:r>
      <w:r w:rsidR="00701885" w:rsidRPr="00724E18">
        <w:rPr>
          <w:rFonts w:cs="Arial"/>
          <w:b/>
          <w:color w:val="000000" w:themeColor="text1"/>
          <w:spacing w:val="42"/>
          <w:sz w:val="20"/>
          <w:szCs w:val="20"/>
          <w:lang w:val="fr-CH"/>
        </w:rPr>
        <w:t xml:space="preserve"> </w:t>
      </w:r>
      <w:r w:rsidR="00701885" w:rsidRPr="00724E18">
        <w:rPr>
          <w:rFonts w:cs="Arial"/>
          <w:b/>
          <w:color w:val="000000" w:themeColor="text1"/>
          <w:spacing w:val="1"/>
          <w:sz w:val="20"/>
          <w:szCs w:val="20"/>
          <w:lang w:val="fr-CH"/>
        </w:rPr>
        <w:t>e</w:t>
      </w:r>
      <w:r w:rsidR="00701885" w:rsidRPr="00724E18">
        <w:rPr>
          <w:rFonts w:cs="Arial"/>
          <w:b/>
          <w:color w:val="000000" w:themeColor="text1"/>
          <w:sz w:val="20"/>
          <w:szCs w:val="20"/>
          <w:lang w:val="fr-CH"/>
        </w:rPr>
        <w:t>t</w:t>
      </w:r>
      <w:r w:rsidR="00701885" w:rsidRPr="00724E18">
        <w:rPr>
          <w:rFonts w:cs="Arial"/>
          <w:b/>
          <w:color w:val="000000" w:themeColor="text1"/>
          <w:spacing w:val="23"/>
          <w:sz w:val="20"/>
          <w:szCs w:val="20"/>
          <w:lang w:val="fr-CH"/>
        </w:rPr>
        <w:t xml:space="preserve"> </w:t>
      </w:r>
      <w:r w:rsidR="00701885" w:rsidRPr="00724E18">
        <w:rPr>
          <w:rFonts w:cs="Arial"/>
          <w:b/>
          <w:color w:val="000000" w:themeColor="text1"/>
          <w:spacing w:val="1"/>
          <w:sz w:val="20"/>
          <w:szCs w:val="20"/>
          <w:lang w:val="fr-CH"/>
        </w:rPr>
        <w:t>dé</w:t>
      </w:r>
      <w:r w:rsidR="00701885" w:rsidRPr="00724E18">
        <w:rPr>
          <w:rFonts w:cs="Arial"/>
          <w:b/>
          <w:color w:val="000000" w:themeColor="text1"/>
          <w:sz w:val="20"/>
          <w:szCs w:val="20"/>
          <w:lang w:val="fr-CH"/>
        </w:rPr>
        <w:t>fis</w:t>
      </w:r>
      <w:r w:rsidR="00701885" w:rsidRPr="00724E18">
        <w:rPr>
          <w:rFonts w:cs="Arial"/>
          <w:b/>
          <w:color w:val="000000" w:themeColor="text1"/>
          <w:spacing w:val="18"/>
          <w:sz w:val="20"/>
          <w:szCs w:val="20"/>
          <w:lang w:val="fr-CH"/>
        </w:rPr>
        <w:t xml:space="preserve"> </w:t>
      </w:r>
      <w:r w:rsidR="00701885" w:rsidRPr="00D97333">
        <w:rPr>
          <w:rFonts w:cs="Arial"/>
          <w:color w:val="000000" w:themeColor="text1"/>
          <w:sz w:val="20"/>
          <w:szCs w:val="20"/>
          <w:lang w:val="fr-CH"/>
        </w:rPr>
        <w:t xml:space="preserve">», </w:t>
      </w:r>
      <w:r>
        <w:rPr>
          <w:rFonts w:cs="Arial"/>
          <w:color w:val="000000" w:themeColor="text1"/>
          <w:sz w:val="20"/>
          <w:szCs w:val="20"/>
          <w:lang w:val="fr-CH"/>
        </w:rPr>
        <w:t>qui a examiné les exemples du Québec, de l’Italie, du Mexique, du Mindanao musulman aux Philippines, et de Zanzibar et a relevé les conclusions suivantes :</w:t>
      </w:r>
    </w:p>
    <w:p w:rsidR="00724E18" w:rsidRPr="005E19E1" w:rsidRDefault="00724E18" w:rsidP="005E19E1">
      <w:pPr>
        <w:pStyle w:val="ListParagraph"/>
        <w:numPr>
          <w:ilvl w:val="0"/>
          <w:numId w:val="21"/>
        </w:numPr>
        <w:pBdr>
          <w:top w:val="nil"/>
          <w:left w:val="nil"/>
          <w:bottom w:val="nil"/>
          <w:right w:val="nil"/>
          <w:between w:val="nil"/>
          <w:bar w:val="nil"/>
        </w:pBdr>
        <w:spacing w:after="0" w:line="240" w:lineRule="auto"/>
        <w:ind w:left="709"/>
        <w:jc w:val="both"/>
        <w:rPr>
          <w:rFonts w:cs="Arial"/>
          <w:color w:val="000000" w:themeColor="text1"/>
          <w:sz w:val="20"/>
          <w:szCs w:val="20"/>
          <w:lang w:val="fr-CH"/>
        </w:rPr>
      </w:pPr>
      <w:r w:rsidRPr="005E19E1">
        <w:rPr>
          <w:rFonts w:cs="Arial"/>
          <w:color w:val="000000" w:themeColor="text1"/>
          <w:sz w:val="20"/>
          <w:szCs w:val="20"/>
          <w:lang w:val="fr-CH"/>
        </w:rPr>
        <w:t>Toutes les situations ayant donné lieu à des statuts d’autonomie résultent d’</w:t>
      </w:r>
      <w:r w:rsidRPr="005E19E1">
        <w:rPr>
          <w:rFonts w:cs="Arial"/>
          <w:b/>
          <w:color w:val="000000" w:themeColor="text1"/>
          <w:sz w:val="20"/>
          <w:szCs w:val="20"/>
          <w:lang w:val="fr-CH"/>
        </w:rPr>
        <w:t>influences historiques</w:t>
      </w:r>
      <w:r w:rsidRPr="005E19E1">
        <w:rPr>
          <w:rFonts w:cs="Arial"/>
          <w:color w:val="000000" w:themeColor="text1"/>
          <w:sz w:val="20"/>
          <w:szCs w:val="20"/>
          <w:lang w:val="fr-CH"/>
        </w:rPr>
        <w:t xml:space="preserve">, de l’héritage colonial </w:t>
      </w:r>
      <w:r w:rsidR="00086FF0" w:rsidRPr="005E19E1">
        <w:rPr>
          <w:rFonts w:cs="Arial"/>
          <w:color w:val="000000" w:themeColor="text1"/>
          <w:sz w:val="20"/>
          <w:szCs w:val="20"/>
          <w:lang w:val="fr-CH"/>
        </w:rPr>
        <w:t xml:space="preserve">(Philippines, Tanzanie) </w:t>
      </w:r>
      <w:r w:rsidRPr="005E19E1">
        <w:rPr>
          <w:rFonts w:cs="Arial"/>
          <w:color w:val="000000" w:themeColor="text1"/>
          <w:sz w:val="20"/>
          <w:szCs w:val="20"/>
          <w:lang w:val="fr-CH"/>
        </w:rPr>
        <w:t>ou de structures préexistantes à l’Etat central (comme en Italie)</w:t>
      </w:r>
      <w:r w:rsidR="00086FF0" w:rsidRPr="005E19E1">
        <w:rPr>
          <w:rFonts w:cs="Arial"/>
          <w:color w:val="000000" w:themeColor="text1"/>
          <w:sz w:val="20"/>
          <w:szCs w:val="20"/>
          <w:lang w:val="fr-CH"/>
        </w:rPr>
        <w:t>.</w:t>
      </w:r>
    </w:p>
    <w:p w:rsidR="00086FF0" w:rsidRPr="005E19E1" w:rsidRDefault="00086FF0" w:rsidP="005E19E1">
      <w:pPr>
        <w:pStyle w:val="ListParagraph"/>
        <w:numPr>
          <w:ilvl w:val="0"/>
          <w:numId w:val="21"/>
        </w:numPr>
        <w:pBdr>
          <w:top w:val="nil"/>
          <w:left w:val="nil"/>
          <w:bottom w:val="nil"/>
          <w:right w:val="nil"/>
          <w:between w:val="nil"/>
          <w:bar w:val="nil"/>
        </w:pBdr>
        <w:spacing w:after="0" w:line="240" w:lineRule="auto"/>
        <w:ind w:left="709"/>
        <w:jc w:val="both"/>
        <w:rPr>
          <w:rFonts w:cs="Arial"/>
          <w:color w:val="000000" w:themeColor="text1"/>
          <w:sz w:val="20"/>
          <w:szCs w:val="20"/>
          <w:lang w:val="fr-CH"/>
        </w:rPr>
      </w:pPr>
      <w:r w:rsidRPr="005E19E1">
        <w:rPr>
          <w:rFonts w:cs="Arial"/>
          <w:color w:val="000000" w:themeColor="text1"/>
          <w:sz w:val="20"/>
          <w:szCs w:val="20"/>
          <w:lang w:val="fr-CH"/>
        </w:rPr>
        <w:t xml:space="preserve">Quelles que soient les structures, la mission des </w:t>
      </w:r>
      <w:r w:rsidR="0092592E" w:rsidRPr="005E19E1">
        <w:rPr>
          <w:rFonts w:cs="Arial"/>
          <w:color w:val="000000" w:themeColor="text1"/>
          <w:sz w:val="20"/>
          <w:szCs w:val="20"/>
          <w:lang w:val="fr-CH"/>
        </w:rPr>
        <w:t>C</w:t>
      </w:r>
      <w:r w:rsidRPr="005E19E1">
        <w:rPr>
          <w:rFonts w:cs="Arial"/>
          <w:color w:val="000000" w:themeColor="text1"/>
          <w:sz w:val="20"/>
          <w:szCs w:val="20"/>
          <w:lang w:val="fr-CH"/>
        </w:rPr>
        <w:t xml:space="preserve">ommissions nationales et régionales des droits humains est la même : </w:t>
      </w:r>
      <w:r w:rsidRPr="005E19E1">
        <w:rPr>
          <w:rFonts w:cs="Arial"/>
          <w:b/>
          <w:color w:val="000000" w:themeColor="text1"/>
          <w:sz w:val="20"/>
          <w:szCs w:val="20"/>
          <w:lang w:val="fr-CH"/>
        </w:rPr>
        <w:t>protéger e</w:t>
      </w:r>
      <w:r w:rsidR="00C36D30" w:rsidRPr="005E19E1">
        <w:rPr>
          <w:rFonts w:cs="Arial"/>
          <w:b/>
          <w:color w:val="000000" w:themeColor="text1"/>
          <w:sz w:val="20"/>
          <w:szCs w:val="20"/>
          <w:lang w:val="fr-CH"/>
        </w:rPr>
        <w:t>t</w:t>
      </w:r>
      <w:r w:rsidRPr="005E19E1">
        <w:rPr>
          <w:rFonts w:cs="Arial"/>
          <w:b/>
          <w:color w:val="000000" w:themeColor="text1"/>
          <w:sz w:val="20"/>
          <w:szCs w:val="20"/>
          <w:lang w:val="fr-CH"/>
        </w:rPr>
        <w:t xml:space="preserve"> promouvoir les droits humains</w:t>
      </w:r>
      <w:r w:rsidRPr="005E19E1">
        <w:rPr>
          <w:rFonts w:cs="Arial"/>
          <w:color w:val="000000" w:themeColor="text1"/>
          <w:sz w:val="20"/>
          <w:szCs w:val="20"/>
          <w:lang w:val="fr-CH"/>
        </w:rPr>
        <w:t xml:space="preserve"> dans toute leur étendue (tant civils et politiques qu’économiques, sociaux et culturels, conformément aux normes internationales</w:t>
      </w:r>
      <w:r w:rsidR="0092592E" w:rsidRPr="005E19E1">
        <w:rPr>
          <w:rFonts w:cs="Arial"/>
          <w:color w:val="000000" w:themeColor="text1"/>
          <w:sz w:val="20"/>
          <w:szCs w:val="20"/>
          <w:lang w:val="fr-CH"/>
        </w:rPr>
        <w:t>) grâce à l’information du public et à la formation des personnels concernés</w:t>
      </w:r>
      <w:r w:rsidRPr="005E19E1">
        <w:rPr>
          <w:rFonts w:cs="Arial"/>
          <w:color w:val="000000" w:themeColor="text1"/>
          <w:sz w:val="20"/>
          <w:szCs w:val="20"/>
          <w:lang w:val="fr-CH"/>
        </w:rPr>
        <w:t>.</w:t>
      </w:r>
    </w:p>
    <w:p w:rsidR="0092592E" w:rsidRPr="005E19E1" w:rsidRDefault="0092592E" w:rsidP="005E19E1">
      <w:pPr>
        <w:pStyle w:val="ListParagraph"/>
        <w:numPr>
          <w:ilvl w:val="0"/>
          <w:numId w:val="21"/>
        </w:numPr>
        <w:pBdr>
          <w:top w:val="nil"/>
          <w:left w:val="nil"/>
          <w:bottom w:val="nil"/>
          <w:right w:val="nil"/>
          <w:between w:val="nil"/>
          <w:bar w:val="nil"/>
        </w:pBdr>
        <w:spacing w:after="0" w:line="240" w:lineRule="auto"/>
        <w:ind w:left="709"/>
        <w:jc w:val="both"/>
        <w:rPr>
          <w:rFonts w:cs="Arial"/>
          <w:color w:val="000000" w:themeColor="text1"/>
          <w:sz w:val="20"/>
          <w:szCs w:val="20"/>
          <w:lang w:val="fr-CH"/>
        </w:rPr>
      </w:pPr>
      <w:r w:rsidRPr="005E19E1">
        <w:rPr>
          <w:rFonts w:cs="Arial"/>
          <w:color w:val="000000" w:themeColor="text1"/>
          <w:sz w:val="20"/>
          <w:szCs w:val="20"/>
          <w:lang w:val="fr-CH"/>
        </w:rPr>
        <w:t xml:space="preserve">De même, dans la plupart des régions autonomes, les Commissions régionales sont aussi </w:t>
      </w:r>
      <w:r w:rsidRPr="005E19E1">
        <w:rPr>
          <w:rFonts w:cs="Arial"/>
          <w:b/>
          <w:color w:val="000000" w:themeColor="text1"/>
          <w:sz w:val="20"/>
          <w:szCs w:val="20"/>
          <w:lang w:val="fr-CH"/>
        </w:rPr>
        <w:t>indépendantes vis-à-vis des autorités régionales</w:t>
      </w:r>
      <w:r w:rsidRPr="005E19E1">
        <w:rPr>
          <w:rFonts w:cs="Arial"/>
          <w:color w:val="000000" w:themeColor="text1"/>
          <w:sz w:val="20"/>
          <w:szCs w:val="20"/>
          <w:lang w:val="fr-CH"/>
        </w:rPr>
        <w:t xml:space="preserve"> que les Commissions nationales le sont à l’égard des autorités nationales</w:t>
      </w:r>
      <w:r w:rsidR="00C36D30" w:rsidRPr="005E19E1">
        <w:rPr>
          <w:rFonts w:cs="Arial"/>
          <w:color w:val="000000" w:themeColor="text1"/>
          <w:sz w:val="20"/>
          <w:szCs w:val="20"/>
          <w:lang w:val="fr-CH"/>
        </w:rPr>
        <w:t> : elles contrôlent les gouvernements et instruisent des plaintes des citoyens. Cette indépendance peut s’assurer par une nomination des membres des Commissions par le Parlement (Mexique, Québec) ou un collège de hautes personnalités (Tanzanie) ou par une nomination par décret précédée d’une large concertation sur la base de qualifications exigeantes et non renouvelable (Maroc).</w:t>
      </w:r>
    </w:p>
    <w:p w:rsidR="00C36D30" w:rsidRPr="005E19E1" w:rsidRDefault="00C36D30" w:rsidP="005E19E1">
      <w:pPr>
        <w:pStyle w:val="ListParagraph"/>
        <w:numPr>
          <w:ilvl w:val="0"/>
          <w:numId w:val="21"/>
        </w:numPr>
        <w:pBdr>
          <w:top w:val="nil"/>
          <w:left w:val="nil"/>
          <w:bottom w:val="nil"/>
          <w:right w:val="nil"/>
          <w:between w:val="nil"/>
          <w:bar w:val="nil"/>
        </w:pBdr>
        <w:spacing w:after="0" w:line="240" w:lineRule="auto"/>
        <w:ind w:left="709"/>
        <w:jc w:val="both"/>
        <w:rPr>
          <w:rFonts w:cs="Arial"/>
          <w:color w:val="000000" w:themeColor="text1"/>
          <w:sz w:val="20"/>
          <w:szCs w:val="20"/>
          <w:lang w:val="fr-CH"/>
        </w:rPr>
      </w:pPr>
      <w:r w:rsidRPr="005E19E1">
        <w:rPr>
          <w:rFonts w:cs="Arial"/>
          <w:color w:val="000000" w:themeColor="text1"/>
          <w:sz w:val="20"/>
          <w:szCs w:val="20"/>
          <w:lang w:val="fr-CH"/>
        </w:rPr>
        <w:t xml:space="preserve">Le fonctionnement des Commissions varie selon les traditions nationales et régionales, mais vise à assurer leur </w:t>
      </w:r>
      <w:r w:rsidRPr="005E19E1">
        <w:rPr>
          <w:rFonts w:cs="Arial"/>
          <w:b/>
          <w:color w:val="000000" w:themeColor="text1"/>
          <w:sz w:val="20"/>
          <w:szCs w:val="20"/>
          <w:lang w:val="fr-CH"/>
        </w:rPr>
        <w:t>représentativité la plus large</w:t>
      </w:r>
      <w:r w:rsidRPr="005E19E1">
        <w:rPr>
          <w:rFonts w:cs="Arial"/>
          <w:color w:val="000000" w:themeColor="text1"/>
          <w:sz w:val="20"/>
          <w:szCs w:val="20"/>
          <w:lang w:val="fr-CH"/>
        </w:rPr>
        <w:t xml:space="preserve"> en incluant souvent des critères de participation (égalité hommes-femmes, jeunes, personnes handicapés, diverses catégories socio-professionnelles).</w:t>
      </w:r>
    </w:p>
    <w:p w:rsidR="00C36D30" w:rsidRPr="005E19E1" w:rsidRDefault="00C36D30" w:rsidP="005E19E1">
      <w:pPr>
        <w:pStyle w:val="ListParagraph"/>
        <w:numPr>
          <w:ilvl w:val="0"/>
          <w:numId w:val="21"/>
        </w:numPr>
        <w:pBdr>
          <w:top w:val="nil"/>
          <w:left w:val="nil"/>
          <w:bottom w:val="nil"/>
          <w:right w:val="nil"/>
          <w:between w:val="nil"/>
          <w:bar w:val="nil"/>
        </w:pBdr>
        <w:spacing w:after="0" w:line="240" w:lineRule="auto"/>
        <w:ind w:left="709"/>
        <w:jc w:val="both"/>
        <w:rPr>
          <w:rFonts w:cs="Arial"/>
          <w:color w:val="000000" w:themeColor="text1"/>
          <w:sz w:val="20"/>
          <w:szCs w:val="20"/>
          <w:lang w:val="fr-CH"/>
        </w:rPr>
      </w:pPr>
      <w:r w:rsidRPr="005E19E1">
        <w:rPr>
          <w:rFonts w:eastAsia="Arial" w:cs="Arial"/>
          <w:noProof/>
          <w:color w:val="000000" w:themeColor="text1"/>
          <w:sz w:val="20"/>
          <w:szCs w:val="20"/>
          <w:lang w:val="fr-CH" w:eastAsia="en-GB"/>
        </w:rPr>
        <w:t xml:space="preserve">le plus important est la possibilité, offerte par la relation entre le niveau national et le niveau régional, d’assurer la </w:t>
      </w:r>
      <w:r w:rsidRPr="005E19E1">
        <w:rPr>
          <w:rFonts w:eastAsia="Arial" w:cs="Arial"/>
          <w:b/>
          <w:noProof/>
          <w:color w:val="000000" w:themeColor="text1"/>
          <w:sz w:val="20"/>
          <w:szCs w:val="20"/>
          <w:lang w:val="fr-CH" w:eastAsia="en-GB"/>
        </w:rPr>
        <w:t>concertation la plus large avec la société civile</w:t>
      </w:r>
      <w:r w:rsidRPr="005E19E1">
        <w:rPr>
          <w:rFonts w:eastAsia="Arial" w:cs="Arial"/>
          <w:noProof/>
          <w:color w:val="000000" w:themeColor="text1"/>
          <w:sz w:val="20"/>
          <w:szCs w:val="20"/>
          <w:lang w:val="fr-CH" w:eastAsia="en-GB"/>
        </w:rPr>
        <w:t xml:space="preserve"> et ses composantes, surtout si la région autonome représente une minorité à l’intérieur de l’Etat ou compte une ou plusieurs minorités en son sein.</w:t>
      </w:r>
    </w:p>
    <w:p w:rsidR="007D0BDE" w:rsidRPr="00D97333" w:rsidRDefault="007D0BDE" w:rsidP="00D97333">
      <w:pPr>
        <w:pBdr>
          <w:top w:val="nil"/>
          <w:left w:val="nil"/>
          <w:bottom w:val="nil"/>
          <w:right w:val="nil"/>
          <w:between w:val="nil"/>
          <w:bar w:val="nil"/>
        </w:pBdr>
        <w:spacing w:after="0" w:line="240" w:lineRule="auto"/>
        <w:jc w:val="both"/>
        <w:rPr>
          <w:rFonts w:eastAsia="Arial" w:cs="Arial"/>
          <w:color w:val="000000" w:themeColor="text1"/>
          <w:sz w:val="20"/>
          <w:szCs w:val="20"/>
          <w:lang w:val="fr-CH"/>
        </w:rPr>
      </w:pPr>
    </w:p>
    <w:p w:rsidR="00F530D3" w:rsidRDefault="00C36D30" w:rsidP="00995D5E">
      <w:pPr>
        <w:pBdr>
          <w:top w:val="nil"/>
          <w:left w:val="nil"/>
          <w:bottom w:val="nil"/>
          <w:right w:val="nil"/>
          <w:between w:val="nil"/>
          <w:bar w:val="nil"/>
        </w:pBdr>
        <w:spacing w:after="0" w:line="240" w:lineRule="auto"/>
        <w:jc w:val="both"/>
        <w:rPr>
          <w:rFonts w:cs="Arial"/>
          <w:color w:val="000000" w:themeColor="text1"/>
          <w:sz w:val="20"/>
          <w:szCs w:val="20"/>
          <w:lang w:val="fr-CH"/>
        </w:rPr>
      </w:pPr>
      <w:r>
        <w:rPr>
          <w:rFonts w:cs="Arial"/>
          <w:color w:val="000000" w:themeColor="text1"/>
          <w:sz w:val="20"/>
          <w:szCs w:val="20"/>
          <w:lang w:val="fr-CH"/>
        </w:rPr>
        <w:t xml:space="preserve">8) </w:t>
      </w:r>
      <w:r w:rsidR="00701885" w:rsidRPr="00D97333">
        <w:rPr>
          <w:rFonts w:cs="Arial"/>
          <w:color w:val="000000" w:themeColor="text1"/>
          <w:sz w:val="20"/>
          <w:szCs w:val="20"/>
          <w:lang w:val="fr-CH"/>
        </w:rPr>
        <w:t xml:space="preserve">Le </w:t>
      </w:r>
      <w:r w:rsidR="00701885" w:rsidRPr="00D97333">
        <w:rPr>
          <w:rFonts w:cs="Arial"/>
          <w:b/>
          <w:bCs/>
          <w:color w:val="000000" w:themeColor="text1"/>
          <w:sz w:val="20"/>
          <w:szCs w:val="20"/>
          <w:lang w:val="fr-CH"/>
        </w:rPr>
        <w:t>1</w:t>
      </w:r>
      <w:r w:rsidR="00701885" w:rsidRPr="00D97333">
        <w:rPr>
          <w:rFonts w:cs="Arial"/>
          <w:b/>
          <w:bCs/>
          <w:color w:val="000000" w:themeColor="text1"/>
          <w:sz w:val="20"/>
          <w:szCs w:val="20"/>
          <w:vertAlign w:val="superscript"/>
          <w:lang w:val="fr-CH"/>
        </w:rPr>
        <w:t>er</w:t>
      </w:r>
      <w:r w:rsidR="00701885" w:rsidRPr="00D97333">
        <w:rPr>
          <w:rFonts w:cs="Arial"/>
          <w:b/>
          <w:bCs/>
          <w:color w:val="000000" w:themeColor="text1"/>
          <w:sz w:val="20"/>
          <w:szCs w:val="20"/>
          <w:lang w:val="fr-CH"/>
        </w:rPr>
        <w:t xml:space="preserve"> juin 2015</w:t>
      </w:r>
      <w:r w:rsidR="00701885" w:rsidRPr="00D97333">
        <w:rPr>
          <w:rFonts w:cs="Arial"/>
          <w:color w:val="000000" w:themeColor="text1"/>
          <w:sz w:val="20"/>
          <w:szCs w:val="20"/>
          <w:lang w:val="fr-CH"/>
        </w:rPr>
        <w:t xml:space="preserve"> à New York sur « </w:t>
      </w:r>
      <w:r w:rsidR="00701885" w:rsidRPr="00C36D30">
        <w:rPr>
          <w:rFonts w:cs="Arial"/>
          <w:b/>
          <w:color w:val="000000" w:themeColor="text1"/>
          <w:sz w:val="20"/>
          <w:szCs w:val="20"/>
          <w:lang w:val="fr-CH"/>
        </w:rPr>
        <w:t>La société civile et les organisations non gouvernementales dans les régions autonomes : rôle et responsabilités</w:t>
      </w:r>
      <w:r w:rsidR="00701885" w:rsidRPr="00D97333">
        <w:rPr>
          <w:rFonts w:cs="Arial"/>
          <w:color w:val="000000" w:themeColor="text1"/>
          <w:sz w:val="20"/>
          <w:szCs w:val="20"/>
          <w:lang w:val="fr-CH"/>
        </w:rPr>
        <w:t xml:space="preserve"> », </w:t>
      </w:r>
      <w:r>
        <w:rPr>
          <w:rFonts w:cs="Arial"/>
          <w:color w:val="000000" w:themeColor="text1"/>
          <w:sz w:val="20"/>
          <w:szCs w:val="20"/>
          <w:lang w:val="fr-CH"/>
        </w:rPr>
        <w:t xml:space="preserve">qui a permis la comparaison </w:t>
      </w:r>
      <w:r w:rsidR="00995D5E">
        <w:rPr>
          <w:rFonts w:cs="Arial"/>
          <w:color w:val="000000" w:themeColor="text1"/>
          <w:sz w:val="20"/>
          <w:szCs w:val="20"/>
          <w:lang w:val="fr-CH"/>
        </w:rPr>
        <w:t xml:space="preserve">des </w:t>
      </w:r>
      <w:r w:rsidR="00F530D3" w:rsidRPr="00D97333">
        <w:rPr>
          <w:rFonts w:cs="Arial"/>
          <w:color w:val="000000" w:themeColor="text1"/>
          <w:sz w:val="20"/>
          <w:szCs w:val="20"/>
          <w:lang w:val="fr-CH"/>
        </w:rPr>
        <w:t>expériences d’autonomie dans le Nord-Est indien, sur la Côte Atlantique du Nicaragua, en Voïvodine et en Andalousie</w:t>
      </w:r>
      <w:r w:rsidR="00995D5E">
        <w:rPr>
          <w:rFonts w:cs="Arial"/>
          <w:color w:val="000000" w:themeColor="text1"/>
          <w:sz w:val="20"/>
          <w:szCs w:val="20"/>
          <w:lang w:val="fr-CH"/>
        </w:rPr>
        <w:t>.</w:t>
      </w:r>
    </w:p>
    <w:p w:rsidR="00ED08D3" w:rsidRDefault="00ED08D3" w:rsidP="005E19E1">
      <w:pPr>
        <w:pStyle w:val="ListParagraph"/>
        <w:widowControl w:val="0"/>
        <w:numPr>
          <w:ilvl w:val="0"/>
          <w:numId w:val="20"/>
        </w:numPr>
        <w:pBdr>
          <w:top w:val="nil"/>
          <w:left w:val="nil"/>
          <w:bottom w:val="nil"/>
          <w:right w:val="nil"/>
          <w:between w:val="nil"/>
          <w:bar w:val="nil"/>
        </w:pBdr>
        <w:autoSpaceDE w:val="0"/>
        <w:autoSpaceDN w:val="0"/>
        <w:adjustRightInd w:val="0"/>
        <w:spacing w:after="0" w:line="240" w:lineRule="auto"/>
        <w:jc w:val="both"/>
        <w:rPr>
          <w:rFonts w:cs="Arial"/>
          <w:color w:val="000000" w:themeColor="text1"/>
          <w:sz w:val="20"/>
          <w:szCs w:val="20"/>
          <w:lang w:val="fr-CH"/>
        </w:rPr>
      </w:pPr>
      <w:r w:rsidRPr="00ED08D3">
        <w:rPr>
          <w:rFonts w:cs="Arial"/>
          <w:color w:val="000000" w:themeColor="text1"/>
          <w:sz w:val="20"/>
          <w:szCs w:val="20"/>
          <w:lang w:val="fr-CH"/>
        </w:rPr>
        <w:t xml:space="preserve">Malgré les différences historiques, on </w:t>
      </w:r>
      <w:r w:rsidR="00F530D3" w:rsidRPr="00ED08D3">
        <w:rPr>
          <w:rFonts w:cs="Arial"/>
          <w:b/>
          <w:color w:val="000000" w:themeColor="text1"/>
          <w:sz w:val="20"/>
          <w:szCs w:val="20"/>
          <w:lang w:val="fr-CH"/>
        </w:rPr>
        <w:t>peut établir une similitude</w:t>
      </w:r>
      <w:r w:rsidR="00F530D3" w:rsidRPr="00ED08D3">
        <w:rPr>
          <w:rFonts w:cs="Arial"/>
          <w:color w:val="000000" w:themeColor="text1"/>
          <w:sz w:val="20"/>
          <w:szCs w:val="20"/>
          <w:lang w:val="fr-CH"/>
        </w:rPr>
        <w:t xml:space="preserve"> entre ces expériences et avec la situation du Sahara : la volonté partagée au niveau central et au niveau régional de trouver un équilibre des pouvoirs qui permette à la fois le maintien des populations de la région autonome au sein d’une communauté nationale et la gestion directe par ces populations du domaine le plus large possible de leurs affaires, y compris le respect de leurs droits spécifiques.</w:t>
      </w:r>
    </w:p>
    <w:p w:rsidR="00F530D3" w:rsidRDefault="00ED08D3" w:rsidP="005E19E1">
      <w:pPr>
        <w:pStyle w:val="ListParagraph"/>
        <w:widowControl w:val="0"/>
        <w:numPr>
          <w:ilvl w:val="0"/>
          <w:numId w:val="20"/>
        </w:numPr>
        <w:pBdr>
          <w:top w:val="nil"/>
          <w:left w:val="nil"/>
          <w:bottom w:val="nil"/>
          <w:right w:val="nil"/>
          <w:between w:val="nil"/>
          <w:bar w:val="nil"/>
        </w:pBdr>
        <w:autoSpaceDE w:val="0"/>
        <w:autoSpaceDN w:val="0"/>
        <w:adjustRightInd w:val="0"/>
        <w:spacing w:after="0" w:line="240" w:lineRule="auto"/>
        <w:jc w:val="both"/>
        <w:rPr>
          <w:rFonts w:cs="Arial"/>
          <w:color w:val="000000" w:themeColor="text1"/>
          <w:sz w:val="20"/>
          <w:szCs w:val="20"/>
          <w:lang w:val="fr-CH"/>
        </w:rPr>
      </w:pPr>
      <w:r w:rsidRPr="00ED08D3">
        <w:rPr>
          <w:rFonts w:cs="Arial"/>
          <w:color w:val="000000" w:themeColor="text1"/>
          <w:sz w:val="20"/>
          <w:szCs w:val="20"/>
          <w:lang w:val="fr-CH"/>
        </w:rPr>
        <w:t>M</w:t>
      </w:r>
      <w:r w:rsidR="00F530D3" w:rsidRPr="00ED08D3">
        <w:rPr>
          <w:rFonts w:cs="Arial"/>
          <w:color w:val="000000" w:themeColor="text1"/>
          <w:sz w:val="20"/>
          <w:szCs w:val="20"/>
          <w:lang w:val="fr-CH"/>
        </w:rPr>
        <w:t xml:space="preserve">ême si les statuts ou le cadre constitutionnel, législatif et réglementaire apparaissent théoriquement appropriés pour atteindre l’équilibre ci-dessus mentionné, </w:t>
      </w:r>
      <w:r w:rsidR="00F530D3" w:rsidRPr="00ED08D3">
        <w:rPr>
          <w:rFonts w:cs="Arial"/>
          <w:b/>
          <w:color w:val="000000" w:themeColor="text1"/>
          <w:sz w:val="20"/>
          <w:szCs w:val="20"/>
          <w:lang w:val="fr-CH"/>
        </w:rPr>
        <w:t>c’est leur mise en œuvre pratique qui importe le plus</w:t>
      </w:r>
      <w:r w:rsidR="00F530D3" w:rsidRPr="00ED08D3">
        <w:rPr>
          <w:rFonts w:cs="Arial"/>
          <w:color w:val="000000" w:themeColor="text1"/>
          <w:sz w:val="20"/>
          <w:szCs w:val="20"/>
          <w:lang w:val="fr-CH"/>
        </w:rPr>
        <w:t>, et qui est souvent affectée par des évolutions politiques internes soit au plan national soit au plan régional. Il n’en est que plus important que la société civile soit mise en mesure, à travers ses organisations, d’exercer sa vigilance et son contrôle sur ce processus qui doit être sans cesse amélioré.</w:t>
      </w:r>
    </w:p>
    <w:p w:rsidR="00F530D3" w:rsidRPr="005E19E1" w:rsidRDefault="00F530D3" w:rsidP="00D97333">
      <w:pPr>
        <w:pStyle w:val="ListParagraph"/>
        <w:widowControl w:val="0"/>
        <w:numPr>
          <w:ilvl w:val="0"/>
          <w:numId w:val="3"/>
        </w:numPr>
        <w:autoSpaceDE w:val="0"/>
        <w:autoSpaceDN w:val="0"/>
        <w:adjustRightInd w:val="0"/>
        <w:spacing w:after="0" w:line="240" w:lineRule="auto"/>
        <w:jc w:val="both"/>
        <w:rPr>
          <w:rFonts w:cs="Arial"/>
          <w:color w:val="000000" w:themeColor="text1"/>
          <w:sz w:val="20"/>
          <w:szCs w:val="20"/>
          <w:lang w:val="fr-CH"/>
        </w:rPr>
      </w:pPr>
      <w:r w:rsidRPr="005E19E1">
        <w:rPr>
          <w:rFonts w:cs="Arial"/>
          <w:color w:val="000000" w:themeColor="text1"/>
          <w:sz w:val="20"/>
          <w:szCs w:val="20"/>
          <w:lang w:val="fr-CH"/>
        </w:rPr>
        <w:t xml:space="preserve">Même si les instruments de dévolution du pouvoir central vers la région autonome sont variables </w:t>
      </w:r>
      <w:r w:rsidRPr="005E19E1">
        <w:rPr>
          <w:rFonts w:cs="Arial"/>
          <w:color w:val="000000" w:themeColor="text1"/>
          <w:sz w:val="20"/>
          <w:szCs w:val="20"/>
          <w:lang w:val="fr-CH"/>
        </w:rPr>
        <w:lastRenderedPageBreak/>
        <w:t xml:space="preserve">selon les cas (structure fédérale comme en Inde, Etat unitaire comme au Nicaragua, en Serbie, en Espagne ou au Maroc), </w:t>
      </w:r>
      <w:r w:rsidRPr="005E19E1">
        <w:rPr>
          <w:rFonts w:cs="Arial"/>
          <w:b/>
          <w:color w:val="000000" w:themeColor="text1"/>
          <w:sz w:val="20"/>
          <w:szCs w:val="20"/>
          <w:lang w:val="fr-CH"/>
        </w:rPr>
        <w:t>on peut constater des tensions et des remises en cause</w:t>
      </w:r>
      <w:r w:rsidRPr="005E19E1">
        <w:rPr>
          <w:rFonts w:cs="Arial"/>
          <w:color w:val="000000" w:themeColor="text1"/>
          <w:sz w:val="20"/>
          <w:szCs w:val="20"/>
          <w:lang w:val="fr-CH"/>
        </w:rPr>
        <w:t xml:space="preserve"> se traduisant par des degrés divers de coopération ou de compétition entre les niveaux national et régional. Il apparaît donc crucial que le statut d’autonomie soit garanti dans la Constitution nationale et difficile à remettre en cause, comme ce serait l</w:t>
      </w:r>
      <w:r w:rsidR="005E19E1" w:rsidRPr="005E19E1">
        <w:rPr>
          <w:rFonts w:cs="Arial"/>
          <w:color w:val="000000" w:themeColor="text1"/>
          <w:sz w:val="20"/>
          <w:szCs w:val="20"/>
          <w:lang w:val="fr-CH"/>
        </w:rPr>
        <w:t>e cas pour la région du Sahara.</w:t>
      </w:r>
    </w:p>
    <w:p w:rsidR="00F530D3" w:rsidRPr="005E19E1" w:rsidRDefault="00F530D3" w:rsidP="00D97333">
      <w:pPr>
        <w:pStyle w:val="ListParagraph"/>
        <w:widowControl w:val="0"/>
        <w:numPr>
          <w:ilvl w:val="0"/>
          <w:numId w:val="3"/>
        </w:numPr>
        <w:autoSpaceDE w:val="0"/>
        <w:autoSpaceDN w:val="0"/>
        <w:adjustRightInd w:val="0"/>
        <w:spacing w:after="0" w:line="240" w:lineRule="auto"/>
        <w:jc w:val="both"/>
        <w:rPr>
          <w:rFonts w:cs="Arial"/>
          <w:color w:val="000000" w:themeColor="text1"/>
          <w:sz w:val="20"/>
          <w:szCs w:val="20"/>
          <w:lang w:val="fr-CH"/>
        </w:rPr>
      </w:pPr>
      <w:r w:rsidRPr="005E19E1">
        <w:rPr>
          <w:rFonts w:cs="Arial"/>
          <w:color w:val="000000" w:themeColor="text1"/>
          <w:sz w:val="20"/>
          <w:szCs w:val="20"/>
          <w:lang w:val="fr-CH"/>
        </w:rPr>
        <w:t xml:space="preserve">Dans la plupart des cas, </w:t>
      </w:r>
      <w:r w:rsidRPr="005E19E1">
        <w:rPr>
          <w:rFonts w:cs="Arial"/>
          <w:b/>
          <w:color w:val="000000" w:themeColor="text1"/>
          <w:sz w:val="20"/>
          <w:szCs w:val="20"/>
          <w:lang w:val="fr-CH"/>
        </w:rPr>
        <w:t>les organisations de la société civile ou non gouvernementales (ONG) de la région autonome apparaissent comme les « gardiens » de l’autonomie</w:t>
      </w:r>
      <w:r w:rsidRPr="005E19E1">
        <w:rPr>
          <w:rFonts w:cs="Arial"/>
          <w:color w:val="000000" w:themeColor="text1"/>
          <w:sz w:val="20"/>
          <w:szCs w:val="20"/>
          <w:lang w:val="fr-CH"/>
        </w:rPr>
        <w:t xml:space="preserve"> en faveur de laquelle elles ont lutté (</w:t>
      </w:r>
      <w:r w:rsidR="005E19E1" w:rsidRPr="005E19E1">
        <w:rPr>
          <w:rFonts w:cs="Arial"/>
          <w:color w:val="000000" w:themeColor="text1"/>
          <w:sz w:val="20"/>
          <w:szCs w:val="20"/>
          <w:lang w:val="fr-CH"/>
        </w:rPr>
        <w:t>comme au</w:t>
      </w:r>
      <w:r w:rsidRPr="005E19E1">
        <w:rPr>
          <w:rFonts w:cs="Arial"/>
          <w:color w:val="000000" w:themeColor="text1"/>
          <w:sz w:val="20"/>
          <w:szCs w:val="20"/>
          <w:lang w:val="fr-CH"/>
        </w:rPr>
        <w:t xml:space="preserve"> Nicaragua). Toutefois apparaît parfois un conflit d’intérêts lorsque les dirigeants de ces ONG deviennent membres officiels d’institutions étatiques au plan régional. Il importe donc que leur indépendance soit garantie, comme le prévoit l’Initiative marocaine.</w:t>
      </w:r>
    </w:p>
    <w:p w:rsidR="00F530D3" w:rsidRPr="005E19E1" w:rsidRDefault="00F530D3" w:rsidP="005E19E1">
      <w:pPr>
        <w:pStyle w:val="ListParagraph"/>
        <w:widowControl w:val="0"/>
        <w:numPr>
          <w:ilvl w:val="0"/>
          <w:numId w:val="3"/>
        </w:numPr>
        <w:autoSpaceDE w:val="0"/>
        <w:autoSpaceDN w:val="0"/>
        <w:adjustRightInd w:val="0"/>
        <w:spacing w:after="0" w:line="240" w:lineRule="auto"/>
        <w:jc w:val="both"/>
        <w:rPr>
          <w:rFonts w:cs="Arial"/>
          <w:color w:val="000000" w:themeColor="text1"/>
          <w:sz w:val="20"/>
          <w:szCs w:val="20"/>
          <w:lang w:val="fr-CH"/>
        </w:rPr>
      </w:pPr>
      <w:r w:rsidRPr="00D97333">
        <w:rPr>
          <w:rFonts w:cs="Arial"/>
          <w:color w:val="000000" w:themeColor="text1"/>
          <w:sz w:val="20"/>
          <w:szCs w:val="20"/>
          <w:lang w:val="fr-CH"/>
        </w:rPr>
        <w:t xml:space="preserve">S’agissant des </w:t>
      </w:r>
      <w:r w:rsidRPr="00D97333">
        <w:rPr>
          <w:rFonts w:cs="Arial"/>
          <w:b/>
          <w:color w:val="000000" w:themeColor="text1"/>
          <w:sz w:val="20"/>
          <w:szCs w:val="20"/>
          <w:lang w:val="fr-CH"/>
        </w:rPr>
        <w:t>rôles que les organisations de la société civile</w:t>
      </w:r>
      <w:r w:rsidRPr="00D97333">
        <w:rPr>
          <w:rFonts w:cs="Arial"/>
          <w:color w:val="000000" w:themeColor="text1"/>
          <w:sz w:val="20"/>
          <w:szCs w:val="20"/>
          <w:lang w:val="fr-CH"/>
        </w:rPr>
        <w:t xml:space="preserve"> </w:t>
      </w:r>
      <w:r w:rsidRPr="00D97333">
        <w:rPr>
          <w:rFonts w:cs="Arial"/>
          <w:b/>
          <w:color w:val="000000" w:themeColor="text1"/>
          <w:sz w:val="20"/>
          <w:szCs w:val="20"/>
          <w:lang w:val="fr-CH"/>
        </w:rPr>
        <w:t>sont appelées à jouer</w:t>
      </w:r>
      <w:r w:rsidRPr="00D97333">
        <w:rPr>
          <w:rFonts w:cs="Arial"/>
          <w:color w:val="000000" w:themeColor="text1"/>
          <w:sz w:val="20"/>
          <w:szCs w:val="20"/>
          <w:lang w:val="fr-CH"/>
        </w:rPr>
        <w:t xml:space="preserve"> dans l’instauration et la mise en œuvre de statuts d’autonomie régionale, on a pu en distinguer trois catégories :</w:t>
      </w:r>
      <w:r w:rsidR="005E19E1">
        <w:rPr>
          <w:rFonts w:cs="Arial"/>
          <w:color w:val="000000" w:themeColor="text1"/>
          <w:sz w:val="20"/>
          <w:szCs w:val="20"/>
          <w:lang w:val="fr-CH"/>
        </w:rPr>
        <w:t xml:space="preserve"> l</w:t>
      </w:r>
      <w:r w:rsidRPr="005E19E1">
        <w:rPr>
          <w:rFonts w:cs="Arial"/>
          <w:color w:val="000000" w:themeColor="text1"/>
          <w:sz w:val="20"/>
          <w:szCs w:val="20"/>
          <w:lang w:val="fr-CH"/>
        </w:rPr>
        <w:t xml:space="preserve">es activités liées à la </w:t>
      </w:r>
      <w:r w:rsidRPr="005E19E1">
        <w:rPr>
          <w:rFonts w:cs="Arial"/>
          <w:i/>
          <w:color w:val="000000" w:themeColor="text1"/>
          <w:sz w:val="20"/>
          <w:szCs w:val="20"/>
          <w:lang w:val="fr-CH"/>
        </w:rPr>
        <w:t>gestion et à la résolution du conflit</w:t>
      </w:r>
      <w:r w:rsidR="005E19E1">
        <w:rPr>
          <w:rFonts w:cs="Arial"/>
          <w:i/>
          <w:color w:val="000000" w:themeColor="text1"/>
          <w:sz w:val="20"/>
          <w:szCs w:val="20"/>
          <w:lang w:val="fr-CH"/>
        </w:rPr>
        <w:t> </w:t>
      </w:r>
      <w:r w:rsidR="005E19E1">
        <w:rPr>
          <w:rFonts w:cs="Arial"/>
          <w:color w:val="000000" w:themeColor="text1"/>
          <w:sz w:val="20"/>
          <w:szCs w:val="20"/>
          <w:lang w:val="fr-CH"/>
        </w:rPr>
        <w:t>; l</w:t>
      </w:r>
      <w:r w:rsidRPr="005E19E1">
        <w:rPr>
          <w:rFonts w:cs="Arial"/>
          <w:color w:val="000000" w:themeColor="text1"/>
          <w:sz w:val="20"/>
          <w:szCs w:val="20"/>
          <w:lang w:val="fr-CH"/>
        </w:rPr>
        <w:t xml:space="preserve">’action de protection et de promotion des </w:t>
      </w:r>
      <w:r w:rsidRPr="005E19E1">
        <w:rPr>
          <w:rFonts w:cs="Arial"/>
          <w:i/>
          <w:color w:val="000000" w:themeColor="text1"/>
          <w:sz w:val="20"/>
          <w:szCs w:val="20"/>
          <w:lang w:val="fr-CH"/>
        </w:rPr>
        <w:t>droits humains et des libertés démocratiques</w:t>
      </w:r>
      <w:r w:rsidR="005E19E1">
        <w:rPr>
          <w:rFonts w:cs="Arial"/>
          <w:i/>
          <w:color w:val="000000" w:themeColor="text1"/>
          <w:sz w:val="20"/>
          <w:szCs w:val="20"/>
          <w:lang w:val="fr-CH"/>
        </w:rPr>
        <w:t> </w:t>
      </w:r>
      <w:r w:rsidR="005E19E1">
        <w:rPr>
          <w:rFonts w:cs="Arial"/>
          <w:color w:val="000000" w:themeColor="text1"/>
          <w:sz w:val="20"/>
          <w:szCs w:val="20"/>
          <w:lang w:val="fr-CH"/>
        </w:rPr>
        <w:t>;</w:t>
      </w:r>
      <w:r w:rsidR="005E19E1" w:rsidRPr="005E19E1">
        <w:rPr>
          <w:rFonts w:cs="Arial"/>
          <w:color w:val="000000" w:themeColor="text1"/>
          <w:sz w:val="20"/>
          <w:szCs w:val="20"/>
          <w:lang w:val="fr-CH"/>
        </w:rPr>
        <w:t xml:space="preserve"> </w:t>
      </w:r>
      <w:r w:rsidR="005E19E1">
        <w:rPr>
          <w:rFonts w:cs="Arial"/>
          <w:color w:val="000000" w:themeColor="text1"/>
          <w:sz w:val="20"/>
          <w:szCs w:val="20"/>
          <w:lang w:val="fr-CH"/>
        </w:rPr>
        <w:t>l</w:t>
      </w:r>
      <w:r w:rsidRPr="005E19E1">
        <w:rPr>
          <w:rFonts w:cs="Arial"/>
          <w:color w:val="000000" w:themeColor="text1"/>
          <w:sz w:val="20"/>
          <w:szCs w:val="20"/>
          <w:lang w:val="fr-CH"/>
        </w:rPr>
        <w:t xml:space="preserve">es </w:t>
      </w:r>
      <w:r w:rsidRPr="005E19E1">
        <w:rPr>
          <w:rFonts w:cs="Arial"/>
          <w:i/>
          <w:color w:val="000000" w:themeColor="text1"/>
          <w:sz w:val="20"/>
          <w:szCs w:val="20"/>
          <w:lang w:val="fr-CH"/>
        </w:rPr>
        <w:t>services à la communauté</w:t>
      </w:r>
      <w:r w:rsidRPr="005E19E1">
        <w:rPr>
          <w:rFonts w:cs="Arial"/>
          <w:color w:val="000000" w:themeColor="text1"/>
          <w:sz w:val="20"/>
          <w:szCs w:val="20"/>
          <w:lang w:val="fr-CH"/>
        </w:rPr>
        <w:t xml:space="preserve"> dans les divers domaines de la vie économique, sociale et culturelle.</w:t>
      </w:r>
    </w:p>
    <w:p w:rsidR="00701885" w:rsidRPr="005E19E1" w:rsidRDefault="00F530D3" w:rsidP="005E19E1">
      <w:pPr>
        <w:pStyle w:val="ListParagraph"/>
        <w:widowControl w:val="0"/>
        <w:numPr>
          <w:ilvl w:val="0"/>
          <w:numId w:val="3"/>
        </w:numPr>
        <w:pBdr>
          <w:top w:val="nil"/>
          <w:left w:val="nil"/>
          <w:bottom w:val="nil"/>
          <w:right w:val="nil"/>
          <w:between w:val="nil"/>
          <w:bar w:val="nil"/>
        </w:pBdr>
        <w:autoSpaceDE w:val="0"/>
        <w:autoSpaceDN w:val="0"/>
        <w:adjustRightInd w:val="0"/>
        <w:spacing w:after="0" w:line="240" w:lineRule="auto"/>
        <w:ind w:left="709"/>
        <w:jc w:val="both"/>
        <w:rPr>
          <w:rFonts w:cs="Arial"/>
          <w:color w:val="000000" w:themeColor="text1"/>
          <w:sz w:val="20"/>
          <w:szCs w:val="20"/>
          <w:lang w:val="fr-CH"/>
        </w:rPr>
      </w:pPr>
      <w:r w:rsidRPr="005E19E1">
        <w:rPr>
          <w:rFonts w:cs="Arial"/>
          <w:color w:val="000000" w:themeColor="text1"/>
          <w:sz w:val="20"/>
          <w:szCs w:val="20"/>
          <w:lang w:val="fr-CH"/>
        </w:rPr>
        <w:t xml:space="preserve">Enfin, dans la plupart des cas intervient une </w:t>
      </w:r>
      <w:r w:rsidRPr="005E19E1">
        <w:rPr>
          <w:rFonts w:cs="Arial"/>
          <w:b/>
          <w:color w:val="000000" w:themeColor="text1"/>
          <w:sz w:val="20"/>
          <w:szCs w:val="20"/>
          <w:lang w:val="fr-CH"/>
        </w:rPr>
        <w:t>dimension internationale</w:t>
      </w:r>
      <w:r w:rsidRPr="005E19E1">
        <w:rPr>
          <w:rFonts w:cs="Arial"/>
          <w:color w:val="000000" w:themeColor="text1"/>
          <w:sz w:val="20"/>
          <w:szCs w:val="20"/>
          <w:lang w:val="fr-CH"/>
        </w:rPr>
        <w:t xml:space="preserve"> : pour la garantie de respect des </w:t>
      </w:r>
      <w:r w:rsidRPr="005E19E1">
        <w:rPr>
          <w:rFonts w:cs="Arial"/>
          <w:i/>
          <w:color w:val="000000" w:themeColor="text1"/>
          <w:sz w:val="20"/>
          <w:szCs w:val="20"/>
          <w:lang w:val="fr-CH"/>
        </w:rPr>
        <w:t>droits humains et des libertés démocratique</w:t>
      </w:r>
      <w:r w:rsidR="008670B8">
        <w:rPr>
          <w:rFonts w:cs="Arial"/>
          <w:i/>
          <w:color w:val="000000" w:themeColor="text1"/>
          <w:sz w:val="20"/>
          <w:szCs w:val="20"/>
          <w:lang w:val="fr-CH"/>
        </w:rPr>
        <w:t>s</w:t>
      </w:r>
      <w:bookmarkStart w:id="0" w:name="_GoBack"/>
      <w:bookmarkEnd w:id="0"/>
      <w:r w:rsidRPr="005E19E1">
        <w:rPr>
          <w:rFonts w:cs="Arial"/>
          <w:color w:val="000000" w:themeColor="text1"/>
          <w:sz w:val="20"/>
          <w:szCs w:val="20"/>
          <w:lang w:val="fr-CH"/>
        </w:rPr>
        <w:t xml:space="preserve"> à travers les mécanismes internationaux</w:t>
      </w:r>
      <w:r w:rsidR="005E19E1" w:rsidRPr="005E19E1">
        <w:rPr>
          <w:rFonts w:cs="Arial"/>
          <w:color w:val="000000" w:themeColor="text1"/>
          <w:sz w:val="20"/>
          <w:szCs w:val="20"/>
          <w:lang w:val="fr-CH"/>
        </w:rPr>
        <w:t xml:space="preserve"> ; </w:t>
      </w:r>
      <w:r w:rsidRPr="005E19E1">
        <w:rPr>
          <w:rFonts w:cs="Arial"/>
          <w:color w:val="000000" w:themeColor="text1"/>
          <w:sz w:val="20"/>
          <w:szCs w:val="20"/>
          <w:lang w:val="fr-CH"/>
        </w:rPr>
        <w:t>l’</w:t>
      </w:r>
      <w:r w:rsidRPr="005E19E1">
        <w:rPr>
          <w:rFonts w:cs="Arial"/>
          <w:i/>
          <w:color w:val="000000" w:themeColor="text1"/>
          <w:sz w:val="20"/>
          <w:szCs w:val="20"/>
          <w:lang w:val="fr-CH"/>
        </w:rPr>
        <w:t>assistance aux ONG régionales</w:t>
      </w:r>
      <w:r w:rsidRPr="005E19E1">
        <w:rPr>
          <w:rFonts w:cs="Arial"/>
          <w:color w:val="000000" w:themeColor="text1"/>
          <w:sz w:val="20"/>
          <w:szCs w:val="20"/>
          <w:lang w:val="fr-CH"/>
        </w:rPr>
        <w:t xml:space="preserve"> et le développement de leurs capacités par des ONG internationales ou des pays étrangers</w:t>
      </w:r>
      <w:r w:rsidR="005E19E1" w:rsidRPr="005E19E1">
        <w:rPr>
          <w:rFonts w:cs="Arial"/>
          <w:color w:val="000000" w:themeColor="text1"/>
          <w:sz w:val="20"/>
          <w:szCs w:val="20"/>
          <w:lang w:val="fr-CH"/>
        </w:rPr>
        <w:t> ;</w:t>
      </w:r>
      <w:r w:rsidRPr="005E19E1">
        <w:rPr>
          <w:rFonts w:cs="Arial"/>
          <w:color w:val="000000" w:themeColor="text1"/>
          <w:sz w:val="20"/>
          <w:szCs w:val="20"/>
          <w:lang w:val="fr-CH"/>
        </w:rPr>
        <w:t xml:space="preserve"> le rôle des ONG régionales dans la </w:t>
      </w:r>
      <w:r w:rsidRPr="005E19E1">
        <w:rPr>
          <w:rFonts w:cs="Arial"/>
          <w:i/>
          <w:color w:val="000000" w:themeColor="text1"/>
          <w:sz w:val="20"/>
          <w:szCs w:val="20"/>
          <w:lang w:val="fr-CH"/>
        </w:rPr>
        <w:t>coopération transnationale</w:t>
      </w:r>
      <w:r w:rsidRPr="005E19E1">
        <w:rPr>
          <w:rFonts w:cs="Arial"/>
          <w:color w:val="000000" w:themeColor="text1"/>
          <w:sz w:val="20"/>
          <w:szCs w:val="20"/>
          <w:lang w:val="fr-CH"/>
        </w:rPr>
        <w:t>, en particulier avec des groupes ethniques similaires dans des Etats voisins.</w:t>
      </w:r>
    </w:p>
    <w:p w:rsidR="00701885" w:rsidRPr="00D97333" w:rsidRDefault="00701885" w:rsidP="00D97333">
      <w:pPr>
        <w:pBdr>
          <w:top w:val="nil"/>
          <w:left w:val="nil"/>
          <w:bottom w:val="nil"/>
          <w:right w:val="nil"/>
          <w:between w:val="nil"/>
          <w:bar w:val="nil"/>
        </w:pBdr>
        <w:spacing w:after="0" w:line="240" w:lineRule="auto"/>
        <w:jc w:val="both"/>
        <w:rPr>
          <w:rFonts w:eastAsia="Arial" w:cs="Arial"/>
          <w:color w:val="000000" w:themeColor="text1"/>
          <w:sz w:val="20"/>
          <w:szCs w:val="20"/>
          <w:lang w:val="fr-CH"/>
        </w:rPr>
      </w:pPr>
    </w:p>
    <w:p w:rsidR="00701885" w:rsidRPr="00D97333" w:rsidRDefault="005E19E1" w:rsidP="00D97333">
      <w:pPr>
        <w:pBdr>
          <w:top w:val="nil"/>
          <w:left w:val="nil"/>
          <w:bottom w:val="nil"/>
          <w:right w:val="nil"/>
          <w:between w:val="nil"/>
          <w:bar w:val="nil"/>
        </w:pBdr>
        <w:spacing w:after="0" w:line="240" w:lineRule="auto"/>
        <w:jc w:val="both"/>
        <w:rPr>
          <w:rFonts w:cs="Arial"/>
          <w:color w:val="000000" w:themeColor="text1"/>
          <w:sz w:val="20"/>
          <w:szCs w:val="20"/>
          <w:lang w:val="fr-CH"/>
        </w:rPr>
      </w:pPr>
      <w:r>
        <w:rPr>
          <w:rFonts w:cs="Arial"/>
          <w:color w:val="000000" w:themeColor="text1"/>
          <w:sz w:val="20"/>
          <w:szCs w:val="20"/>
          <w:lang w:val="fr-CH"/>
        </w:rPr>
        <w:t xml:space="preserve">9) </w:t>
      </w:r>
      <w:r w:rsidR="00701885" w:rsidRPr="00D97333">
        <w:rPr>
          <w:rFonts w:cs="Arial"/>
          <w:color w:val="000000" w:themeColor="text1"/>
          <w:sz w:val="20"/>
          <w:szCs w:val="20"/>
          <w:lang w:val="fr-CH"/>
        </w:rPr>
        <w:t xml:space="preserve">Le </w:t>
      </w:r>
      <w:r w:rsidR="00701885" w:rsidRPr="00D97333">
        <w:rPr>
          <w:rFonts w:cs="Arial"/>
          <w:b/>
          <w:bCs/>
          <w:color w:val="000000" w:themeColor="text1"/>
          <w:sz w:val="20"/>
          <w:szCs w:val="20"/>
          <w:lang w:val="fr-CH"/>
        </w:rPr>
        <w:t>2 mai 2016</w:t>
      </w:r>
      <w:r w:rsidR="00701885" w:rsidRPr="00D97333">
        <w:rPr>
          <w:rFonts w:cs="Arial"/>
          <w:color w:val="000000" w:themeColor="text1"/>
          <w:sz w:val="20"/>
          <w:szCs w:val="20"/>
          <w:lang w:val="fr-CH"/>
        </w:rPr>
        <w:t xml:space="preserve"> à New York sur « </w:t>
      </w:r>
      <w:r w:rsidR="00701885" w:rsidRPr="005E19E1">
        <w:rPr>
          <w:rFonts w:cs="Arial"/>
          <w:b/>
          <w:color w:val="000000" w:themeColor="text1"/>
          <w:sz w:val="20"/>
          <w:szCs w:val="20"/>
          <w:lang w:val="fr-CH"/>
        </w:rPr>
        <w:t>Les relations extérieures des régions autonomes et la coopération transfrontière</w:t>
      </w:r>
      <w:r w:rsidR="00701885" w:rsidRPr="00D97333">
        <w:rPr>
          <w:rFonts w:cs="Arial"/>
          <w:color w:val="000000" w:themeColor="text1"/>
          <w:sz w:val="20"/>
          <w:szCs w:val="20"/>
          <w:lang w:val="fr-CH"/>
        </w:rPr>
        <w:t> »</w:t>
      </w:r>
      <w:r w:rsidR="008E0D65">
        <w:rPr>
          <w:rFonts w:cs="Arial"/>
          <w:color w:val="000000" w:themeColor="text1"/>
          <w:sz w:val="20"/>
          <w:szCs w:val="20"/>
          <w:lang w:val="fr-CH"/>
        </w:rPr>
        <w:t>, séminaire</w:t>
      </w:r>
      <w:r w:rsidR="00701885" w:rsidRPr="00D97333">
        <w:rPr>
          <w:rFonts w:cs="Arial"/>
          <w:color w:val="000000" w:themeColor="text1"/>
          <w:sz w:val="20"/>
          <w:szCs w:val="20"/>
          <w:lang w:val="fr-CH"/>
        </w:rPr>
        <w:t xml:space="preserve"> </w:t>
      </w:r>
      <w:r>
        <w:rPr>
          <w:rFonts w:cs="Arial"/>
          <w:color w:val="000000" w:themeColor="text1"/>
          <w:sz w:val="20"/>
          <w:szCs w:val="20"/>
          <w:lang w:val="fr-CH"/>
        </w:rPr>
        <w:t xml:space="preserve">qui s’est penché sur les cas du </w:t>
      </w:r>
      <w:r w:rsidR="00AD2398">
        <w:rPr>
          <w:rFonts w:cs="Arial"/>
          <w:color w:val="000000" w:themeColor="text1"/>
          <w:sz w:val="20"/>
          <w:szCs w:val="20"/>
          <w:lang w:val="fr-CH"/>
        </w:rPr>
        <w:t>Québec</w:t>
      </w:r>
      <w:r>
        <w:rPr>
          <w:rFonts w:cs="Arial"/>
          <w:color w:val="000000" w:themeColor="text1"/>
          <w:sz w:val="20"/>
          <w:szCs w:val="20"/>
          <w:lang w:val="fr-CH"/>
        </w:rPr>
        <w:t xml:space="preserve">, des Etats insulaires </w:t>
      </w:r>
      <w:r w:rsidR="0045541B">
        <w:rPr>
          <w:rFonts w:cs="Arial"/>
          <w:color w:val="000000" w:themeColor="text1"/>
          <w:sz w:val="20"/>
          <w:szCs w:val="20"/>
          <w:lang w:val="fr-CH"/>
        </w:rPr>
        <w:t xml:space="preserve">« jumeaux » </w:t>
      </w:r>
      <w:r>
        <w:rPr>
          <w:rFonts w:cs="Arial"/>
          <w:color w:val="000000" w:themeColor="text1"/>
          <w:sz w:val="20"/>
          <w:szCs w:val="20"/>
          <w:lang w:val="fr-CH"/>
        </w:rPr>
        <w:t>des Caraïbes et de plusieurs pays européens</w:t>
      </w:r>
      <w:r w:rsidR="00FC5810">
        <w:rPr>
          <w:rFonts w:cs="Arial"/>
          <w:color w:val="000000" w:themeColor="text1"/>
          <w:sz w:val="20"/>
          <w:szCs w:val="20"/>
          <w:lang w:val="fr-CH"/>
        </w:rPr>
        <w:t>, en notant les conclusions suivantes :</w:t>
      </w:r>
    </w:p>
    <w:p w:rsidR="00D97333" w:rsidRPr="000C6F33" w:rsidRDefault="00AD2398" w:rsidP="000C6F33">
      <w:pPr>
        <w:pStyle w:val="ListParagraph"/>
        <w:numPr>
          <w:ilvl w:val="0"/>
          <w:numId w:val="29"/>
        </w:numPr>
        <w:spacing w:after="0" w:line="240" w:lineRule="auto"/>
        <w:jc w:val="both"/>
        <w:rPr>
          <w:rFonts w:cs="Arial"/>
          <w:sz w:val="20"/>
          <w:szCs w:val="20"/>
          <w:lang w:val="fr-CH"/>
        </w:rPr>
      </w:pPr>
      <w:r w:rsidRPr="000C6F33">
        <w:rPr>
          <w:rFonts w:cs="Arial"/>
          <w:b/>
          <w:sz w:val="20"/>
          <w:szCs w:val="20"/>
          <w:lang w:val="fr-CH"/>
        </w:rPr>
        <w:t xml:space="preserve">Une région </w:t>
      </w:r>
      <w:r w:rsidR="00D97333" w:rsidRPr="000C6F33">
        <w:rPr>
          <w:rFonts w:cs="Arial"/>
          <w:b/>
          <w:sz w:val="20"/>
          <w:szCs w:val="20"/>
          <w:lang w:val="fr-CH"/>
        </w:rPr>
        <w:t>autonom</w:t>
      </w:r>
      <w:r w:rsidRPr="000C6F33">
        <w:rPr>
          <w:rFonts w:cs="Arial"/>
          <w:b/>
          <w:sz w:val="20"/>
          <w:szCs w:val="20"/>
          <w:lang w:val="fr-CH"/>
        </w:rPr>
        <w:t>e peut fonctionner efficacement</w:t>
      </w:r>
      <w:r w:rsidRPr="000C6F33">
        <w:rPr>
          <w:rFonts w:cs="Arial"/>
          <w:sz w:val="20"/>
          <w:szCs w:val="20"/>
          <w:lang w:val="fr-CH"/>
        </w:rPr>
        <w:t>, y compris dans ses relations extérieures,</w:t>
      </w:r>
      <w:r w:rsidR="00D97333" w:rsidRPr="000C6F33">
        <w:rPr>
          <w:rFonts w:cs="Arial"/>
          <w:sz w:val="20"/>
          <w:szCs w:val="20"/>
          <w:lang w:val="fr-CH"/>
        </w:rPr>
        <w:t xml:space="preserve"> </w:t>
      </w:r>
      <w:r w:rsidRPr="000C6F33">
        <w:rPr>
          <w:rFonts w:cs="Arial"/>
          <w:sz w:val="20"/>
          <w:szCs w:val="20"/>
          <w:lang w:val="fr-CH"/>
        </w:rPr>
        <w:t xml:space="preserve">quel que soit le système </w:t>
      </w:r>
      <w:r w:rsidR="00D97333" w:rsidRPr="000C6F33">
        <w:rPr>
          <w:rFonts w:cs="Arial"/>
          <w:sz w:val="20"/>
          <w:szCs w:val="20"/>
          <w:lang w:val="fr-CH"/>
        </w:rPr>
        <w:t>constitution</w:t>
      </w:r>
      <w:r w:rsidRPr="000C6F33">
        <w:rPr>
          <w:rFonts w:cs="Arial"/>
          <w:sz w:val="20"/>
          <w:szCs w:val="20"/>
          <w:lang w:val="fr-CH"/>
        </w:rPr>
        <w:t>ne</w:t>
      </w:r>
      <w:r w:rsidR="00D97333" w:rsidRPr="000C6F33">
        <w:rPr>
          <w:rFonts w:cs="Arial"/>
          <w:sz w:val="20"/>
          <w:szCs w:val="20"/>
          <w:lang w:val="fr-CH"/>
        </w:rPr>
        <w:t xml:space="preserve">l </w:t>
      </w:r>
      <w:r w:rsidRPr="000C6F33">
        <w:rPr>
          <w:rFonts w:cs="Arial"/>
          <w:sz w:val="20"/>
          <w:szCs w:val="20"/>
          <w:lang w:val="fr-CH"/>
        </w:rPr>
        <w:t>(</w:t>
      </w:r>
      <w:r w:rsidR="00D97333" w:rsidRPr="000C6F33">
        <w:rPr>
          <w:rFonts w:cs="Arial"/>
          <w:sz w:val="20"/>
          <w:szCs w:val="20"/>
          <w:lang w:val="fr-CH"/>
        </w:rPr>
        <w:t>f</w:t>
      </w:r>
      <w:r w:rsidRPr="000C6F33">
        <w:rPr>
          <w:rFonts w:cs="Arial"/>
          <w:sz w:val="20"/>
          <w:szCs w:val="20"/>
          <w:lang w:val="fr-CH"/>
        </w:rPr>
        <w:t>é</w:t>
      </w:r>
      <w:r w:rsidR="00D97333" w:rsidRPr="000C6F33">
        <w:rPr>
          <w:rFonts w:cs="Arial"/>
          <w:sz w:val="20"/>
          <w:szCs w:val="20"/>
          <w:lang w:val="fr-CH"/>
        </w:rPr>
        <w:t>d</w:t>
      </w:r>
      <w:r w:rsidRPr="000C6F33">
        <w:rPr>
          <w:rFonts w:cs="Arial"/>
          <w:sz w:val="20"/>
          <w:szCs w:val="20"/>
          <w:lang w:val="fr-CH"/>
        </w:rPr>
        <w:t>é</w:t>
      </w:r>
      <w:r w:rsidR="00D97333" w:rsidRPr="000C6F33">
        <w:rPr>
          <w:rFonts w:cs="Arial"/>
          <w:sz w:val="20"/>
          <w:szCs w:val="20"/>
          <w:lang w:val="fr-CH"/>
        </w:rPr>
        <w:t>ral, Commonwealth</w:t>
      </w:r>
      <w:r w:rsidRPr="000C6F33">
        <w:rPr>
          <w:rFonts w:cs="Arial"/>
          <w:sz w:val="20"/>
          <w:szCs w:val="20"/>
          <w:lang w:val="fr-CH"/>
        </w:rPr>
        <w:t>, ou Etat</w:t>
      </w:r>
      <w:r w:rsidR="00D97333" w:rsidRPr="000C6F33">
        <w:rPr>
          <w:rFonts w:cs="Arial"/>
          <w:sz w:val="20"/>
          <w:szCs w:val="20"/>
          <w:lang w:val="fr-CH"/>
        </w:rPr>
        <w:t xml:space="preserve"> unita</w:t>
      </w:r>
      <w:r w:rsidRPr="000C6F33">
        <w:rPr>
          <w:rFonts w:cs="Arial"/>
          <w:sz w:val="20"/>
          <w:szCs w:val="20"/>
          <w:lang w:val="fr-CH"/>
        </w:rPr>
        <w:t>i</w:t>
      </w:r>
      <w:r w:rsidR="00D97333" w:rsidRPr="000C6F33">
        <w:rPr>
          <w:rFonts w:cs="Arial"/>
          <w:sz w:val="20"/>
          <w:szCs w:val="20"/>
          <w:lang w:val="fr-CH"/>
        </w:rPr>
        <w:t>r</w:t>
      </w:r>
      <w:r w:rsidRPr="000C6F33">
        <w:rPr>
          <w:rFonts w:cs="Arial"/>
          <w:sz w:val="20"/>
          <w:szCs w:val="20"/>
          <w:lang w:val="fr-CH"/>
        </w:rPr>
        <w:t xml:space="preserve">e </w:t>
      </w:r>
      <w:r w:rsidR="00D97333" w:rsidRPr="000C6F33">
        <w:rPr>
          <w:rFonts w:cs="Arial"/>
          <w:sz w:val="20"/>
          <w:szCs w:val="20"/>
          <w:lang w:val="fr-CH"/>
        </w:rPr>
        <w:t>d</w:t>
      </w:r>
      <w:r w:rsidRPr="000C6F33">
        <w:rPr>
          <w:rFonts w:cs="Arial"/>
          <w:sz w:val="20"/>
          <w:szCs w:val="20"/>
          <w:lang w:val="fr-CH"/>
        </w:rPr>
        <w:t>é</w:t>
      </w:r>
      <w:r w:rsidR="00D97333" w:rsidRPr="000C6F33">
        <w:rPr>
          <w:rFonts w:cs="Arial"/>
          <w:sz w:val="20"/>
          <w:szCs w:val="20"/>
          <w:lang w:val="fr-CH"/>
        </w:rPr>
        <w:t>centralis</w:t>
      </w:r>
      <w:r w:rsidRPr="000C6F33">
        <w:rPr>
          <w:rFonts w:cs="Arial"/>
          <w:sz w:val="20"/>
          <w:szCs w:val="20"/>
          <w:lang w:val="fr-CH"/>
        </w:rPr>
        <w:t>é comme dans le</w:t>
      </w:r>
      <w:r w:rsidR="00D97333" w:rsidRPr="000C6F33">
        <w:rPr>
          <w:rFonts w:cs="Arial"/>
          <w:sz w:val="20"/>
          <w:szCs w:val="20"/>
          <w:lang w:val="fr-CH"/>
        </w:rPr>
        <w:t xml:space="preserve"> cas</w:t>
      </w:r>
      <w:r w:rsidRPr="000C6F33">
        <w:rPr>
          <w:rFonts w:cs="Arial"/>
          <w:sz w:val="20"/>
          <w:szCs w:val="20"/>
          <w:lang w:val="fr-CH"/>
        </w:rPr>
        <w:t xml:space="preserve"> du</w:t>
      </w:r>
      <w:r w:rsidR="00D97333" w:rsidRPr="000C6F33">
        <w:rPr>
          <w:rFonts w:cs="Arial"/>
          <w:sz w:val="20"/>
          <w:szCs w:val="20"/>
          <w:lang w:val="fr-CH"/>
        </w:rPr>
        <w:t xml:space="preserve"> M</w:t>
      </w:r>
      <w:r w:rsidRPr="000C6F33">
        <w:rPr>
          <w:rFonts w:cs="Arial"/>
          <w:sz w:val="20"/>
          <w:szCs w:val="20"/>
          <w:lang w:val="fr-CH"/>
        </w:rPr>
        <w:t>a</w:t>
      </w:r>
      <w:r w:rsidR="00D97333" w:rsidRPr="000C6F33">
        <w:rPr>
          <w:rFonts w:cs="Arial"/>
          <w:sz w:val="20"/>
          <w:szCs w:val="20"/>
          <w:lang w:val="fr-CH"/>
        </w:rPr>
        <w:t>roc</w:t>
      </w:r>
      <w:r w:rsidRPr="000C6F33">
        <w:rPr>
          <w:rFonts w:cs="Arial"/>
          <w:sz w:val="20"/>
          <w:szCs w:val="20"/>
          <w:lang w:val="fr-CH"/>
        </w:rPr>
        <w:t>)</w:t>
      </w:r>
      <w:r w:rsidR="00D97333" w:rsidRPr="000C6F33">
        <w:rPr>
          <w:rFonts w:cs="Arial"/>
          <w:sz w:val="20"/>
          <w:szCs w:val="20"/>
          <w:lang w:val="fr-CH"/>
        </w:rPr>
        <w:t>.</w:t>
      </w:r>
    </w:p>
    <w:p w:rsidR="00D97333" w:rsidRPr="000C6F33" w:rsidRDefault="00AD2398" w:rsidP="000C6F33">
      <w:pPr>
        <w:pStyle w:val="ListParagraph"/>
        <w:numPr>
          <w:ilvl w:val="0"/>
          <w:numId w:val="29"/>
        </w:numPr>
        <w:spacing w:after="0" w:line="240" w:lineRule="auto"/>
        <w:jc w:val="both"/>
        <w:rPr>
          <w:rFonts w:cs="Arial"/>
          <w:sz w:val="20"/>
          <w:szCs w:val="20"/>
          <w:lang w:val="fr-CH"/>
        </w:rPr>
      </w:pPr>
      <w:r w:rsidRPr="000C6F33">
        <w:rPr>
          <w:rFonts w:cs="Arial"/>
          <w:sz w:val="20"/>
          <w:szCs w:val="20"/>
          <w:lang w:val="fr-CH"/>
        </w:rPr>
        <w:t xml:space="preserve">Deux </w:t>
      </w:r>
      <w:r w:rsidRPr="000C6F33">
        <w:rPr>
          <w:rFonts w:cs="Arial"/>
          <w:b/>
          <w:sz w:val="20"/>
          <w:szCs w:val="20"/>
          <w:lang w:val="fr-CH"/>
        </w:rPr>
        <w:t xml:space="preserve">catégories de </w:t>
      </w:r>
      <w:r w:rsidR="00D97333" w:rsidRPr="000C6F33">
        <w:rPr>
          <w:rFonts w:cs="Arial"/>
          <w:b/>
          <w:sz w:val="20"/>
          <w:szCs w:val="20"/>
          <w:lang w:val="fr-CH"/>
        </w:rPr>
        <w:t>crit</w:t>
      </w:r>
      <w:r w:rsidRPr="000C6F33">
        <w:rPr>
          <w:rFonts w:cs="Arial"/>
          <w:b/>
          <w:sz w:val="20"/>
          <w:szCs w:val="20"/>
          <w:lang w:val="fr-CH"/>
        </w:rPr>
        <w:t>è</w:t>
      </w:r>
      <w:r w:rsidR="00D97333" w:rsidRPr="000C6F33">
        <w:rPr>
          <w:rFonts w:cs="Arial"/>
          <w:b/>
          <w:sz w:val="20"/>
          <w:szCs w:val="20"/>
          <w:lang w:val="fr-CH"/>
        </w:rPr>
        <w:t>r</w:t>
      </w:r>
      <w:r w:rsidRPr="000C6F33">
        <w:rPr>
          <w:rFonts w:cs="Arial"/>
          <w:b/>
          <w:sz w:val="20"/>
          <w:szCs w:val="20"/>
          <w:lang w:val="fr-CH"/>
        </w:rPr>
        <w:t>es</w:t>
      </w:r>
      <w:r w:rsidR="00D97333" w:rsidRPr="000C6F33">
        <w:rPr>
          <w:rFonts w:cs="Arial"/>
          <w:sz w:val="20"/>
          <w:szCs w:val="20"/>
          <w:lang w:val="fr-CH"/>
        </w:rPr>
        <w:t xml:space="preserve"> </w:t>
      </w:r>
      <w:r w:rsidRPr="000C6F33">
        <w:rPr>
          <w:rFonts w:cs="Arial"/>
          <w:sz w:val="20"/>
          <w:szCs w:val="20"/>
          <w:lang w:val="fr-CH"/>
        </w:rPr>
        <w:t xml:space="preserve">peuvent justifier un </w:t>
      </w:r>
      <w:r w:rsidR="00D97333" w:rsidRPr="000C6F33">
        <w:rPr>
          <w:rFonts w:cs="Arial"/>
          <w:sz w:val="20"/>
          <w:szCs w:val="20"/>
          <w:lang w:val="fr-CH"/>
        </w:rPr>
        <w:t>statu</w:t>
      </w:r>
      <w:r w:rsidRPr="000C6F33">
        <w:rPr>
          <w:rFonts w:cs="Arial"/>
          <w:sz w:val="20"/>
          <w:szCs w:val="20"/>
          <w:lang w:val="fr-CH"/>
        </w:rPr>
        <w:t>t d’a</w:t>
      </w:r>
      <w:r w:rsidR="00D97333" w:rsidRPr="000C6F33">
        <w:rPr>
          <w:rFonts w:cs="Arial"/>
          <w:sz w:val="20"/>
          <w:szCs w:val="20"/>
          <w:lang w:val="fr-CH"/>
        </w:rPr>
        <w:t>utonomi</w:t>
      </w:r>
      <w:r w:rsidRPr="000C6F33">
        <w:rPr>
          <w:rFonts w:cs="Arial"/>
          <w:sz w:val="20"/>
          <w:szCs w:val="20"/>
          <w:lang w:val="fr-CH"/>
        </w:rPr>
        <w:t>e</w:t>
      </w:r>
      <w:r w:rsidR="00D97333" w:rsidRPr="000C6F33">
        <w:rPr>
          <w:rFonts w:cs="Arial"/>
          <w:sz w:val="20"/>
          <w:szCs w:val="20"/>
          <w:lang w:val="fr-CH"/>
        </w:rPr>
        <w:t xml:space="preserve">, </w:t>
      </w:r>
      <w:r w:rsidRPr="000C6F33">
        <w:rPr>
          <w:rFonts w:cs="Arial"/>
          <w:sz w:val="20"/>
          <w:szCs w:val="20"/>
          <w:lang w:val="fr-CH"/>
        </w:rPr>
        <w:t xml:space="preserve">également sur le plan des relations extérieures </w:t>
      </w:r>
      <w:r w:rsidR="00D97333" w:rsidRPr="000C6F33">
        <w:rPr>
          <w:rFonts w:cs="Arial"/>
          <w:sz w:val="20"/>
          <w:szCs w:val="20"/>
          <w:lang w:val="fr-CH"/>
        </w:rPr>
        <w:t>:</w:t>
      </w:r>
      <w:r w:rsidRPr="000C6F33">
        <w:rPr>
          <w:rFonts w:cs="Arial"/>
          <w:sz w:val="20"/>
          <w:szCs w:val="20"/>
          <w:lang w:val="fr-CH"/>
        </w:rPr>
        <w:t xml:space="preserve"> </w:t>
      </w:r>
      <w:r w:rsidR="00D97333" w:rsidRPr="000C6F33">
        <w:rPr>
          <w:rFonts w:cs="Arial"/>
          <w:sz w:val="20"/>
          <w:szCs w:val="20"/>
          <w:lang w:val="fr-CH"/>
        </w:rPr>
        <w:t>crit</w:t>
      </w:r>
      <w:r w:rsidRPr="000C6F33">
        <w:rPr>
          <w:rFonts w:cs="Arial"/>
          <w:sz w:val="20"/>
          <w:szCs w:val="20"/>
          <w:lang w:val="fr-CH"/>
        </w:rPr>
        <w:t>è</w:t>
      </w:r>
      <w:r w:rsidR="00D97333" w:rsidRPr="000C6F33">
        <w:rPr>
          <w:rFonts w:cs="Arial"/>
          <w:sz w:val="20"/>
          <w:szCs w:val="20"/>
          <w:lang w:val="fr-CH"/>
        </w:rPr>
        <w:t>r</w:t>
      </w:r>
      <w:r w:rsidRPr="000C6F33">
        <w:rPr>
          <w:rFonts w:cs="Arial"/>
          <w:sz w:val="20"/>
          <w:szCs w:val="20"/>
          <w:lang w:val="fr-CH"/>
        </w:rPr>
        <w:t>es</w:t>
      </w:r>
      <w:r w:rsidR="00D97333" w:rsidRPr="000C6F33">
        <w:rPr>
          <w:rFonts w:cs="Arial"/>
          <w:sz w:val="20"/>
          <w:szCs w:val="20"/>
          <w:lang w:val="fr-CH"/>
        </w:rPr>
        <w:t xml:space="preserve"> relat</w:t>
      </w:r>
      <w:r w:rsidRPr="000C6F33">
        <w:rPr>
          <w:rFonts w:cs="Arial"/>
          <w:sz w:val="20"/>
          <w:szCs w:val="20"/>
          <w:lang w:val="fr-CH"/>
        </w:rPr>
        <w:t>ifs aux</w:t>
      </w:r>
      <w:r w:rsidR="00D97333" w:rsidRPr="000C6F33">
        <w:rPr>
          <w:rFonts w:cs="Arial"/>
          <w:sz w:val="20"/>
          <w:szCs w:val="20"/>
          <w:lang w:val="fr-CH"/>
        </w:rPr>
        <w:t xml:space="preserve"> identit</w:t>
      </w:r>
      <w:r w:rsidRPr="000C6F33">
        <w:rPr>
          <w:rFonts w:cs="Arial"/>
          <w:sz w:val="20"/>
          <w:szCs w:val="20"/>
          <w:lang w:val="fr-CH"/>
        </w:rPr>
        <w:t>é</w:t>
      </w:r>
      <w:r w:rsidR="00D97333" w:rsidRPr="000C6F33">
        <w:rPr>
          <w:rFonts w:cs="Arial"/>
          <w:sz w:val="20"/>
          <w:szCs w:val="20"/>
          <w:lang w:val="fr-CH"/>
        </w:rPr>
        <w:t>s linguisti</w:t>
      </w:r>
      <w:r w:rsidRPr="000C6F33">
        <w:rPr>
          <w:rFonts w:cs="Arial"/>
          <w:sz w:val="20"/>
          <w:szCs w:val="20"/>
          <w:lang w:val="fr-CH"/>
        </w:rPr>
        <w:t>ques</w:t>
      </w:r>
      <w:r w:rsidR="00D97333" w:rsidRPr="000C6F33">
        <w:rPr>
          <w:rFonts w:cs="Arial"/>
          <w:sz w:val="20"/>
          <w:szCs w:val="20"/>
          <w:lang w:val="fr-CH"/>
        </w:rPr>
        <w:t>, religi</w:t>
      </w:r>
      <w:r w:rsidRPr="000C6F33">
        <w:rPr>
          <w:rFonts w:cs="Arial"/>
          <w:sz w:val="20"/>
          <w:szCs w:val="20"/>
          <w:lang w:val="fr-CH"/>
        </w:rPr>
        <w:t>e</w:t>
      </w:r>
      <w:r w:rsidR="00D97333" w:rsidRPr="000C6F33">
        <w:rPr>
          <w:rFonts w:cs="Arial"/>
          <w:sz w:val="20"/>
          <w:szCs w:val="20"/>
          <w:lang w:val="fr-CH"/>
        </w:rPr>
        <w:t>us</w:t>
      </w:r>
      <w:r w:rsidRPr="000C6F33">
        <w:rPr>
          <w:rFonts w:cs="Arial"/>
          <w:sz w:val="20"/>
          <w:szCs w:val="20"/>
          <w:lang w:val="fr-CH"/>
        </w:rPr>
        <w:t>es</w:t>
      </w:r>
      <w:r w:rsidR="00D97333" w:rsidRPr="000C6F33">
        <w:rPr>
          <w:rFonts w:cs="Arial"/>
          <w:sz w:val="20"/>
          <w:szCs w:val="20"/>
          <w:lang w:val="fr-CH"/>
        </w:rPr>
        <w:t>, ethni</w:t>
      </w:r>
      <w:r w:rsidRPr="000C6F33">
        <w:rPr>
          <w:rFonts w:cs="Arial"/>
          <w:sz w:val="20"/>
          <w:szCs w:val="20"/>
          <w:lang w:val="fr-CH"/>
        </w:rPr>
        <w:t>ques ou</w:t>
      </w:r>
      <w:r w:rsidR="00D97333" w:rsidRPr="000C6F33">
        <w:rPr>
          <w:rFonts w:cs="Arial"/>
          <w:sz w:val="20"/>
          <w:szCs w:val="20"/>
          <w:lang w:val="fr-CH"/>
        </w:rPr>
        <w:t xml:space="preserve"> g</w:t>
      </w:r>
      <w:r w:rsidRPr="000C6F33">
        <w:rPr>
          <w:rFonts w:cs="Arial"/>
          <w:sz w:val="20"/>
          <w:szCs w:val="20"/>
          <w:lang w:val="fr-CH"/>
        </w:rPr>
        <w:t>é</w:t>
      </w:r>
      <w:r w:rsidR="00D97333" w:rsidRPr="000C6F33">
        <w:rPr>
          <w:rFonts w:cs="Arial"/>
          <w:sz w:val="20"/>
          <w:szCs w:val="20"/>
          <w:lang w:val="fr-CH"/>
        </w:rPr>
        <w:t>ographi</w:t>
      </w:r>
      <w:r w:rsidRPr="000C6F33">
        <w:rPr>
          <w:rFonts w:cs="Arial"/>
          <w:sz w:val="20"/>
          <w:szCs w:val="20"/>
          <w:lang w:val="fr-CH"/>
        </w:rPr>
        <w:t>ques</w:t>
      </w:r>
      <w:r w:rsidR="002243BB" w:rsidRPr="000C6F33">
        <w:rPr>
          <w:rFonts w:cs="Arial"/>
          <w:sz w:val="20"/>
          <w:szCs w:val="20"/>
          <w:lang w:val="fr-CH"/>
        </w:rPr>
        <w:t xml:space="preserve"> ; </w:t>
      </w:r>
      <w:r w:rsidR="00D97333" w:rsidRPr="000C6F33">
        <w:rPr>
          <w:rFonts w:cs="Arial"/>
          <w:sz w:val="20"/>
          <w:szCs w:val="20"/>
          <w:lang w:val="fr-CH"/>
        </w:rPr>
        <w:t>crit</w:t>
      </w:r>
      <w:r w:rsidR="002243BB" w:rsidRPr="000C6F33">
        <w:rPr>
          <w:rFonts w:cs="Arial"/>
          <w:sz w:val="20"/>
          <w:szCs w:val="20"/>
          <w:lang w:val="fr-CH"/>
        </w:rPr>
        <w:t>è</w:t>
      </w:r>
      <w:r w:rsidR="00D97333" w:rsidRPr="000C6F33">
        <w:rPr>
          <w:rFonts w:cs="Arial"/>
          <w:sz w:val="20"/>
          <w:szCs w:val="20"/>
          <w:lang w:val="fr-CH"/>
        </w:rPr>
        <w:t>res histor</w:t>
      </w:r>
      <w:r w:rsidR="002243BB" w:rsidRPr="000C6F33">
        <w:rPr>
          <w:rFonts w:cs="Arial"/>
          <w:sz w:val="20"/>
          <w:szCs w:val="20"/>
          <w:lang w:val="fr-CH"/>
        </w:rPr>
        <w:t xml:space="preserve">iques </w:t>
      </w:r>
      <w:r w:rsidR="00D97333" w:rsidRPr="000C6F33">
        <w:rPr>
          <w:rFonts w:cs="Arial"/>
          <w:sz w:val="20"/>
          <w:szCs w:val="20"/>
          <w:lang w:val="fr-CH"/>
        </w:rPr>
        <w:t>o</w:t>
      </w:r>
      <w:r w:rsidR="002243BB" w:rsidRPr="000C6F33">
        <w:rPr>
          <w:rFonts w:cs="Arial"/>
          <w:sz w:val="20"/>
          <w:szCs w:val="20"/>
          <w:lang w:val="fr-CH"/>
        </w:rPr>
        <w:t>u</w:t>
      </w:r>
      <w:r w:rsidR="00D97333" w:rsidRPr="000C6F33">
        <w:rPr>
          <w:rFonts w:cs="Arial"/>
          <w:sz w:val="20"/>
          <w:szCs w:val="20"/>
          <w:lang w:val="fr-CH"/>
        </w:rPr>
        <w:t xml:space="preserve"> colonia</w:t>
      </w:r>
      <w:r w:rsidR="002243BB" w:rsidRPr="000C6F33">
        <w:rPr>
          <w:rFonts w:cs="Arial"/>
          <w:sz w:val="20"/>
          <w:szCs w:val="20"/>
          <w:lang w:val="fr-CH"/>
        </w:rPr>
        <w:t>ux</w:t>
      </w:r>
      <w:r w:rsidR="00D97333" w:rsidRPr="000C6F33">
        <w:rPr>
          <w:rFonts w:cs="Arial"/>
          <w:sz w:val="20"/>
          <w:szCs w:val="20"/>
          <w:lang w:val="fr-CH"/>
        </w:rPr>
        <w:t>.</w:t>
      </w:r>
    </w:p>
    <w:p w:rsidR="00D97333" w:rsidRPr="000C6F33" w:rsidRDefault="002243BB" w:rsidP="000C6F33">
      <w:pPr>
        <w:pStyle w:val="ListParagraph"/>
        <w:numPr>
          <w:ilvl w:val="0"/>
          <w:numId w:val="29"/>
        </w:numPr>
        <w:spacing w:after="0" w:line="240" w:lineRule="auto"/>
        <w:jc w:val="both"/>
        <w:rPr>
          <w:rFonts w:cs="Arial"/>
          <w:sz w:val="20"/>
          <w:szCs w:val="20"/>
          <w:lang w:val="fr-CH"/>
        </w:rPr>
      </w:pPr>
      <w:r w:rsidRPr="000C6F33">
        <w:rPr>
          <w:rFonts w:cs="Arial"/>
          <w:b/>
          <w:sz w:val="20"/>
          <w:szCs w:val="20"/>
          <w:lang w:val="fr-CH"/>
        </w:rPr>
        <w:t>L’étendue des prérogatives internationales</w:t>
      </w:r>
      <w:r w:rsidRPr="000C6F33">
        <w:rPr>
          <w:rFonts w:cs="Arial"/>
          <w:sz w:val="20"/>
          <w:szCs w:val="20"/>
          <w:lang w:val="fr-CH"/>
        </w:rPr>
        <w:t xml:space="preserve"> de la région autonome peut être large (</w:t>
      </w:r>
      <w:r w:rsidR="00D97333" w:rsidRPr="000C6F33">
        <w:rPr>
          <w:rFonts w:cs="Arial"/>
          <w:sz w:val="20"/>
          <w:szCs w:val="20"/>
          <w:lang w:val="fr-CH"/>
        </w:rPr>
        <w:t>Québec</w:t>
      </w:r>
      <w:r w:rsidRPr="000C6F33">
        <w:rPr>
          <w:rFonts w:cs="Arial"/>
          <w:sz w:val="20"/>
          <w:szCs w:val="20"/>
          <w:lang w:val="fr-CH"/>
        </w:rPr>
        <w:t>)</w:t>
      </w:r>
      <w:r w:rsidR="00D97333" w:rsidRPr="000C6F33">
        <w:rPr>
          <w:rFonts w:cs="Arial"/>
          <w:sz w:val="20"/>
          <w:szCs w:val="20"/>
          <w:lang w:val="fr-CH"/>
        </w:rPr>
        <w:t xml:space="preserve"> </w:t>
      </w:r>
      <w:r w:rsidRPr="000C6F33">
        <w:rPr>
          <w:rFonts w:cs="Arial"/>
          <w:sz w:val="20"/>
          <w:szCs w:val="20"/>
          <w:lang w:val="fr-CH"/>
        </w:rPr>
        <w:t>ou plus restreinte (</w:t>
      </w:r>
      <w:r w:rsidR="00D97333" w:rsidRPr="000C6F33">
        <w:rPr>
          <w:rFonts w:cs="Arial"/>
          <w:sz w:val="20"/>
          <w:szCs w:val="20"/>
          <w:lang w:val="fr-CH"/>
        </w:rPr>
        <w:t>Car</w:t>
      </w:r>
      <w:r w:rsidRPr="000C6F33">
        <w:rPr>
          <w:rFonts w:cs="Arial"/>
          <w:sz w:val="20"/>
          <w:szCs w:val="20"/>
          <w:lang w:val="fr-CH"/>
        </w:rPr>
        <w:t>aï</w:t>
      </w:r>
      <w:r w:rsidR="00D97333" w:rsidRPr="000C6F33">
        <w:rPr>
          <w:rFonts w:cs="Arial"/>
          <w:sz w:val="20"/>
          <w:szCs w:val="20"/>
          <w:lang w:val="fr-CH"/>
        </w:rPr>
        <w:t>be</w:t>
      </w:r>
      <w:r w:rsidRPr="000C6F33">
        <w:rPr>
          <w:rFonts w:cs="Arial"/>
          <w:sz w:val="20"/>
          <w:szCs w:val="20"/>
          <w:lang w:val="fr-CH"/>
        </w:rPr>
        <w:t xml:space="preserve">s) ou s’insérer dans un courant plus large de </w:t>
      </w:r>
      <w:r w:rsidR="00D97333" w:rsidRPr="000C6F33">
        <w:rPr>
          <w:rFonts w:cs="Arial"/>
          <w:sz w:val="20"/>
          <w:szCs w:val="20"/>
          <w:lang w:val="fr-CH"/>
        </w:rPr>
        <w:t>d</w:t>
      </w:r>
      <w:r w:rsidRPr="000C6F33">
        <w:rPr>
          <w:rFonts w:cs="Arial"/>
          <w:sz w:val="20"/>
          <w:szCs w:val="20"/>
          <w:lang w:val="fr-CH"/>
        </w:rPr>
        <w:t>é</w:t>
      </w:r>
      <w:r w:rsidR="00D97333" w:rsidRPr="000C6F33">
        <w:rPr>
          <w:rFonts w:cs="Arial"/>
          <w:sz w:val="20"/>
          <w:szCs w:val="20"/>
          <w:lang w:val="fr-CH"/>
        </w:rPr>
        <w:t xml:space="preserve">centralisation </w:t>
      </w:r>
      <w:r w:rsidRPr="000C6F33">
        <w:rPr>
          <w:rFonts w:cs="Arial"/>
          <w:sz w:val="20"/>
          <w:szCs w:val="20"/>
          <w:lang w:val="fr-CH"/>
        </w:rPr>
        <w:t>(</w:t>
      </w:r>
      <w:r w:rsidR="00D97333" w:rsidRPr="000C6F33">
        <w:rPr>
          <w:rFonts w:cs="Arial"/>
          <w:sz w:val="20"/>
          <w:szCs w:val="20"/>
          <w:lang w:val="fr-CH"/>
        </w:rPr>
        <w:t>Europe</w:t>
      </w:r>
      <w:r w:rsidRPr="000C6F33">
        <w:rPr>
          <w:rFonts w:cs="Arial"/>
          <w:sz w:val="20"/>
          <w:szCs w:val="20"/>
          <w:lang w:val="fr-CH"/>
        </w:rPr>
        <w:t>). L’initiative marocaine pour le Sahara va loin :</w:t>
      </w:r>
      <w:r w:rsidR="00D97333" w:rsidRPr="000C6F33">
        <w:rPr>
          <w:rFonts w:cs="Arial"/>
          <w:sz w:val="20"/>
          <w:szCs w:val="20"/>
          <w:lang w:val="fr-CH"/>
        </w:rPr>
        <w:t xml:space="preserve"> </w:t>
      </w:r>
      <w:r w:rsidRPr="000C6F33">
        <w:rPr>
          <w:rFonts w:cs="Arial"/>
          <w:sz w:val="20"/>
          <w:szCs w:val="20"/>
          <w:lang w:val="fr-CH"/>
        </w:rPr>
        <w:t>l’Etat</w:t>
      </w:r>
      <w:r w:rsidR="00D97333" w:rsidRPr="000C6F33">
        <w:rPr>
          <w:rFonts w:cs="Arial"/>
          <w:sz w:val="20"/>
          <w:szCs w:val="20"/>
          <w:lang w:val="fr-CH"/>
        </w:rPr>
        <w:t xml:space="preserve"> central </w:t>
      </w:r>
      <w:r w:rsidRPr="000C6F33">
        <w:rPr>
          <w:rFonts w:cs="Arial"/>
          <w:sz w:val="20"/>
          <w:szCs w:val="20"/>
          <w:lang w:val="fr-CH"/>
        </w:rPr>
        <w:t>devra</w:t>
      </w:r>
      <w:r w:rsidR="00D97333" w:rsidRPr="000C6F33">
        <w:rPr>
          <w:rFonts w:cs="Arial"/>
          <w:sz w:val="20"/>
          <w:szCs w:val="20"/>
          <w:lang w:val="fr-CH"/>
        </w:rPr>
        <w:t xml:space="preserve"> consult</w:t>
      </w:r>
      <w:r w:rsidRPr="000C6F33">
        <w:rPr>
          <w:rFonts w:cs="Arial"/>
          <w:sz w:val="20"/>
          <w:szCs w:val="20"/>
          <w:lang w:val="fr-CH"/>
        </w:rPr>
        <w:t>er</w:t>
      </w:r>
      <w:r w:rsidR="00D97333" w:rsidRPr="000C6F33">
        <w:rPr>
          <w:rFonts w:cs="Arial"/>
          <w:sz w:val="20"/>
          <w:szCs w:val="20"/>
          <w:lang w:val="fr-CH"/>
        </w:rPr>
        <w:t xml:space="preserve"> </w:t>
      </w:r>
      <w:r w:rsidRPr="000C6F33">
        <w:rPr>
          <w:rFonts w:cs="Arial"/>
          <w:sz w:val="20"/>
          <w:szCs w:val="20"/>
          <w:lang w:val="fr-CH"/>
        </w:rPr>
        <w:t>la</w:t>
      </w:r>
      <w:r w:rsidR="00D97333" w:rsidRPr="000C6F33">
        <w:rPr>
          <w:rFonts w:cs="Arial"/>
          <w:sz w:val="20"/>
          <w:szCs w:val="20"/>
          <w:lang w:val="fr-CH"/>
        </w:rPr>
        <w:t xml:space="preserve"> r</w:t>
      </w:r>
      <w:r w:rsidRPr="000C6F33">
        <w:rPr>
          <w:rFonts w:cs="Arial"/>
          <w:sz w:val="20"/>
          <w:szCs w:val="20"/>
          <w:lang w:val="fr-CH"/>
        </w:rPr>
        <w:t>é</w:t>
      </w:r>
      <w:r w:rsidR="00D97333" w:rsidRPr="000C6F33">
        <w:rPr>
          <w:rFonts w:cs="Arial"/>
          <w:sz w:val="20"/>
          <w:szCs w:val="20"/>
          <w:lang w:val="fr-CH"/>
        </w:rPr>
        <w:t xml:space="preserve">gion </w:t>
      </w:r>
      <w:r w:rsidRPr="000C6F33">
        <w:rPr>
          <w:rFonts w:cs="Arial"/>
          <w:sz w:val="20"/>
          <w:szCs w:val="20"/>
          <w:lang w:val="fr-CH"/>
        </w:rPr>
        <w:t>sur les affaires</w:t>
      </w:r>
      <w:r w:rsidR="00D97333" w:rsidRPr="000C6F33">
        <w:rPr>
          <w:rFonts w:cs="Arial"/>
          <w:sz w:val="20"/>
          <w:szCs w:val="20"/>
          <w:lang w:val="fr-CH"/>
        </w:rPr>
        <w:t xml:space="preserve"> international</w:t>
      </w:r>
      <w:r w:rsidRPr="000C6F33">
        <w:rPr>
          <w:rFonts w:cs="Arial"/>
          <w:sz w:val="20"/>
          <w:szCs w:val="20"/>
          <w:lang w:val="fr-CH"/>
        </w:rPr>
        <w:t>es la concernant et la région pourra se prononcer sur les accords</w:t>
      </w:r>
      <w:r w:rsidR="00D97333" w:rsidRPr="000C6F33">
        <w:rPr>
          <w:rFonts w:cs="Arial"/>
          <w:sz w:val="20"/>
          <w:szCs w:val="20"/>
          <w:lang w:val="fr-CH"/>
        </w:rPr>
        <w:t xml:space="preserve"> internationa</w:t>
      </w:r>
      <w:r w:rsidRPr="000C6F33">
        <w:rPr>
          <w:rFonts w:cs="Arial"/>
          <w:sz w:val="20"/>
          <w:szCs w:val="20"/>
          <w:lang w:val="fr-CH"/>
        </w:rPr>
        <w:t xml:space="preserve">ux affectant ses </w:t>
      </w:r>
      <w:r w:rsidR="00D97333" w:rsidRPr="000C6F33">
        <w:rPr>
          <w:rFonts w:cs="Arial"/>
          <w:sz w:val="20"/>
          <w:szCs w:val="20"/>
          <w:lang w:val="fr-CH"/>
        </w:rPr>
        <w:t>int</w:t>
      </w:r>
      <w:r w:rsidRPr="000C6F33">
        <w:rPr>
          <w:rFonts w:cs="Arial"/>
          <w:sz w:val="20"/>
          <w:szCs w:val="20"/>
          <w:lang w:val="fr-CH"/>
        </w:rPr>
        <w:t>é</w:t>
      </w:r>
      <w:r w:rsidR="00D97333" w:rsidRPr="000C6F33">
        <w:rPr>
          <w:rFonts w:cs="Arial"/>
          <w:sz w:val="20"/>
          <w:szCs w:val="20"/>
          <w:lang w:val="fr-CH"/>
        </w:rPr>
        <w:t>r</w:t>
      </w:r>
      <w:r w:rsidRPr="000C6F33">
        <w:rPr>
          <w:rFonts w:cs="Arial"/>
          <w:sz w:val="20"/>
          <w:szCs w:val="20"/>
          <w:lang w:val="fr-CH"/>
        </w:rPr>
        <w:t>ê</w:t>
      </w:r>
      <w:r w:rsidR="00D97333" w:rsidRPr="000C6F33">
        <w:rPr>
          <w:rFonts w:cs="Arial"/>
          <w:sz w:val="20"/>
          <w:szCs w:val="20"/>
          <w:lang w:val="fr-CH"/>
        </w:rPr>
        <w:t xml:space="preserve">ts. </w:t>
      </w:r>
    </w:p>
    <w:p w:rsidR="00D97333" w:rsidRPr="000C6F33" w:rsidRDefault="002243BB" w:rsidP="000C6F33">
      <w:pPr>
        <w:pStyle w:val="ListParagraph"/>
        <w:numPr>
          <w:ilvl w:val="0"/>
          <w:numId w:val="29"/>
        </w:numPr>
        <w:spacing w:after="0" w:line="240" w:lineRule="auto"/>
        <w:jc w:val="both"/>
        <w:rPr>
          <w:rFonts w:cs="Arial"/>
          <w:sz w:val="20"/>
          <w:szCs w:val="20"/>
          <w:lang w:val="fr-CH"/>
        </w:rPr>
      </w:pPr>
      <w:r w:rsidRPr="000C6F33">
        <w:rPr>
          <w:rFonts w:cs="Arial"/>
          <w:sz w:val="20"/>
          <w:szCs w:val="20"/>
          <w:lang w:val="fr-CH"/>
        </w:rPr>
        <w:t xml:space="preserve">Les </w:t>
      </w:r>
      <w:r w:rsidRPr="000C6F33">
        <w:rPr>
          <w:rFonts w:cs="Arial"/>
          <w:b/>
          <w:sz w:val="20"/>
          <w:szCs w:val="20"/>
          <w:lang w:val="fr-CH"/>
        </w:rPr>
        <w:t>domaines de coopération</w:t>
      </w:r>
      <w:r w:rsidRPr="000C6F33">
        <w:rPr>
          <w:rFonts w:cs="Arial"/>
          <w:sz w:val="20"/>
          <w:szCs w:val="20"/>
          <w:lang w:val="fr-CH"/>
        </w:rPr>
        <w:t xml:space="preserve"> des régions autonomes avec les pays ou régions voisins peuvent aussi dépendre des critères évoqués (</w:t>
      </w:r>
      <w:r w:rsidR="00D97333" w:rsidRPr="000C6F33">
        <w:rPr>
          <w:rFonts w:cs="Arial"/>
          <w:sz w:val="20"/>
          <w:szCs w:val="20"/>
          <w:lang w:val="fr-CH"/>
        </w:rPr>
        <w:t>linguisti</w:t>
      </w:r>
      <w:r w:rsidRPr="000C6F33">
        <w:rPr>
          <w:rFonts w:cs="Arial"/>
          <w:sz w:val="20"/>
          <w:szCs w:val="20"/>
          <w:lang w:val="fr-CH"/>
        </w:rPr>
        <w:t>ques, relatifs à l’héritage col</w:t>
      </w:r>
      <w:r w:rsidR="00D97333" w:rsidRPr="000C6F33">
        <w:rPr>
          <w:rFonts w:cs="Arial"/>
          <w:sz w:val="20"/>
          <w:szCs w:val="20"/>
          <w:lang w:val="fr-CH"/>
        </w:rPr>
        <w:t>onial</w:t>
      </w:r>
      <w:r w:rsidRPr="000C6F33">
        <w:rPr>
          <w:rFonts w:cs="Arial"/>
          <w:sz w:val="20"/>
          <w:szCs w:val="20"/>
          <w:lang w:val="fr-CH"/>
        </w:rPr>
        <w:t>)</w:t>
      </w:r>
      <w:r w:rsidR="00D97333" w:rsidRPr="000C6F33">
        <w:rPr>
          <w:rFonts w:cs="Arial"/>
          <w:sz w:val="20"/>
          <w:szCs w:val="20"/>
          <w:lang w:val="fr-CH"/>
        </w:rPr>
        <w:t xml:space="preserve"> </w:t>
      </w:r>
      <w:r w:rsidRPr="000C6F33">
        <w:rPr>
          <w:rFonts w:cs="Arial"/>
          <w:sz w:val="20"/>
          <w:szCs w:val="20"/>
          <w:lang w:val="fr-CH"/>
        </w:rPr>
        <w:t>ou porter sur leurs intérêts</w:t>
      </w:r>
      <w:r w:rsidR="00D97333" w:rsidRPr="000C6F33">
        <w:rPr>
          <w:rFonts w:cs="Arial"/>
          <w:sz w:val="20"/>
          <w:szCs w:val="20"/>
          <w:lang w:val="fr-CH"/>
        </w:rPr>
        <w:t xml:space="preserve"> </w:t>
      </w:r>
      <w:r w:rsidRPr="000C6F33">
        <w:rPr>
          <w:rFonts w:cs="Arial"/>
          <w:sz w:val="20"/>
          <w:szCs w:val="20"/>
          <w:lang w:val="fr-CH"/>
        </w:rPr>
        <w:t>é</w:t>
      </w:r>
      <w:r w:rsidR="00D97333" w:rsidRPr="000C6F33">
        <w:rPr>
          <w:rFonts w:cs="Arial"/>
          <w:sz w:val="20"/>
          <w:szCs w:val="20"/>
          <w:lang w:val="fr-CH"/>
        </w:rPr>
        <w:t>conomi</w:t>
      </w:r>
      <w:r w:rsidRPr="000C6F33">
        <w:rPr>
          <w:rFonts w:cs="Arial"/>
          <w:sz w:val="20"/>
          <w:szCs w:val="20"/>
          <w:lang w:val="fr-CH"/>
        </w:rPr>
        <w:t>ques</w:t>
      </w:r>
      <w:r w:rsidR="00D97333" w:rsidRPr="000C6F33">
        <w:rPr>
          <w:rFonts w:cs="Arial"/>
          <w:sz w:val="20"/>
          <w:szCs w:val="20"/>
          <w:lang w:val="fr-CH"/>
        </w:rPr>
        <w:t xml:space="preserve">, </w:t>
      </w:r>
      <w:r w:rsidRPr="000C6F33">
        <w:rPr>
          <w:rFonts w:cs="Arial"/>
          <w:sz w:val="20"/>
          <w:szCs w:val="20"/>
          <w:lang w:val="fr-CH"/>
        </w:rPr>
        <w:t>commerciaux</w:t>
      </w:r>
      <w:r w:rsidR="00D97333" w:rsidRPr="000C6F33">
        <w:rPr>
          <w:rFonts w:cs="Arial"/>
          <w:sz w:val="20"/>
          <w:szCs w:val="20"/>
          <w:lang w:val="fr-CH"/>
        </w:rPr>
        <w:t>, touris</w:t>
      </w:r>
      <w:r w:rsidRPr="000C6F33">
        <w:rPr>
          <w:rFonts w:cs="Arial"/>
          <w:sz w:val="20"/>
          <w:szCs w:val="20"/>
          <w:lang w:val="fr-CH"/>
        </w:rPr>
        <w:t>tiques</w:t>
      </w:r>
      <w:r w:rsidR="00D97333" w:rsidRPr="000C6F33">
        <w:rPr>
          <w:rFonts w:cs="Arial"/>
          <w:sz w:val="20"/>
          <w:szCs w:val="20"/>
          <w:lang w:val="fr-CH"/>
        </w:rPr>
        <w:t xml:space="preserve"> o</w:t>
      </w:r>
      <w:r w:rsidRPr="000C6F33">
        <w:rPr>
          <w:rFonts w:cs="Arial"/>
          <w:sz w:val="20"/>
          <w:szCs w:val="20"/>
          <w:lang w:val="fr-CH"/>
        </w:rPr>
        <w:t>u</w:t>
      </w:r>
      <w:r w:rsidR="00D97333" w:rsidRPr="000C6F33">
        <w:rPr>
          <w:rFonts w:cs="Arial"/>
          <w:sz w:val="20"/>
          <w:szCs w:val="20"/>
          <w:lang w:val="fr-CH"/>
        </w:rPr>
        <w:t xml:space="preserve"> cultur</w:t>
      </w:r>
      <w:r w:rsidRPr="000C6F33">
        <w:rPr>
          <w:rFonts w:cs="Arial"/>
          <w:sz w:val="20"/>
          <w:szCs w:val="20"/>
          <w:lang w:val="fr-CH"/>
        </w:rPr>
        <w:t>e</w:t>
      </w:r>
      <w:r w:rsidR="00D97333" w:rsidRPr="000C6F33">
        <w:rPr>
          <w:rFonts w:cs="Arial"/>
          <w:sz w:val="20"/>
          <w:szCs w:val="20"/>
          <w:lang w:val="fr-CH"/>
        </w:rPr>
        <w:t>ls.</w:t>
      </w:r>
    </w:p>
    <w:p w:rsidR="00D97333" w:rsidRPr="000C6F33" w:rsidRDefault="002243BB" w:rsidP="000C6F33">
      <w:pPr>
        <w:pStyle w:val="ListParagraph"/>
        <w:numPr>
          <w:ilvl w:val="0"/>
          <w:numId w:val="29"/>
        </w:numPr>
        <w:spacing w:after="0" w:line="240" w:lineRule="auto"/>
        <w:jc w:val="both"/>
        <w:rPr>
          <w:rFonts w:cs="Arial"/>
          <w:sz w:val="20"/>
          <w:szCs w:val="20"/>
          <w:lang w:val="fr-CH"/>
        </w:rPr>
      </w:pPr>
      <w:r w:rsidRPr="000C6F33">
        <w:rPr>
          <w:rFonts w:cs="Arial"/>
          <w:sz w:val="20"/>
          <w:szCs w:val="20"/>
          <w:lang w:val="fr-CH"/>
        </w:rPr>
        <w:t>L</w:t>
      </w:r>
      <w:r w:rsidR="00D97333" w:rsidRPr="000C6F33">
        <w:rPr>
          <w:rFonts w:cs="Arial"/>
          <w:sz w:val="20"/>
          <w:szCs w:val="20"/>
          <w:lang w:val="fr-CH"/>
        </w:rPr>
        <w:t>e d</w:t>
      </w:r>
      <w:r w:rsidRPr="000C6F33">
        <w:rPr>
          <w:rFonts w:cs="Arial"/>
          <w:sz w:val="20"/>
          <w:szCs w:val="20"/>
          <w:lang w:val="fr-CH"/>
        </w:rPr>
        <w:t>é</w:t>
      </w:r>
      <w:r w:rsidR="00D97333" w:rsidRPr="000C6F33">
        <w:rPr>
          <w:rFonts w:cs="Arial"/>
          <w:sz w:val="20"/>
          <w:szCs w:val="20"/>
          <w:lang w:val="fr-CH"/>
        </w:rPr>
        <w:t>velop</w:t>
      </w:r>
      <w:r w:rsidRPr="000C6F33">
        <w:rPr>
          <w:rFonts w:cs="Arial"/>
          <w:sz w:val="20"/>
          <w:szCs w:val="20"/>
          <w:lang w:val="fr-CH"/>
        </w:rPr>
        <w:t>pe</w:t>
      </w:r>
      <w:r w:rsidR="00D97333" w:rsidRPr="000C6F33">
        <w:rPr>
          <w:rFonts w:cs="Arial"/>
          <w:sz w:val="20"/>
          <w:szCs w:val="20"/>
          <w:lang w:val="fr-CH"/>
        </w:rPr>
        <w:t xml:space="preserve">ment </w:t>
      </w:r>
      <w:r w:rsidRPr="000C6F33">
        <w:rPr>
          <w:rFonts w:cs="Arial"/>
          <w:sz w:val="20"/>
          <w:szCs w:val="20"/>
          <w:lang w:val="fr-CH"/>
        </w:rPr>
        <w:t>des</w:t>
      </w:r>
      <w:r w:rsidR="00D97333" w:rsidRPr="000C6F33">
        <w:rPr>
          <w:rFonts w:cs="Arial"/>
          <w:sz w:val="20"/>
          <w:szCs w:val="20"/>
          <w:lang w:val="fr-CH"/>
        </w:rPr>
        <w:t xml:space="preserve"> relations </w:t>
      </w:r>
      <w:r w:rsidRPr="000C6F33">
        <w:rPr>
          <w:rFonts w:cs="Arial"/>
          <w:sz w:val="20"/>
          <w:szCs w:val="20"/>
          <w:lang w:val="fr-CH"/>
        </w:rPr>
        <w:t>extérieures des régions</w:t>
      </w:r>
      <w:r w:rsidR="00D97333" w:rsidRPr="000C6F33">
        <w:rPr>
          <w:rFonts w:cs="Arial"/>
          <w:sz w:val="20"/>
          <w:szCs w:val="20"/>
          <w:lang w:val="fr-CH"/>
        </w:rPr>
        <w:t xml:space="preserve"> autonom</w:t>
      </w:r>
      <w:r w:rsidRPr="000C6F33">
        <w:rPr>
          <w:rFonts w:cs="Arial"/>
          <w:sz w:val="20"/>
          <w:szCs w:val="20"/>
          <w:lang w:val="fr-CH"/>
        </w:rPr>
        <w:t>e</w:t>
      </w:r>
      <w:r w:rsidR="00D97333" w:rsidRPr="000C6F33">
        <w:rPr>
          <w:rFonts w:cs="Arial"/>
          <w:sz w:val="20"/>
          <w:szCs w:val="20"/>
          <w:lang w:val="fr-CH"/>
        </w:rPr>
        <w:t xml:space="preserve">s </w:t>
      </w:r>
      <w:r w:rsidR="000C6F33" w:rsidRPr="000C6F33">
        <w:rPr>
          <w:rFonts w:cs="Arial"/>
          <w:sz w:val="20"/>
          <w:szCs w:val="20"/>
          <w:lang w:val="fr-CH"/>
        </w:rPr>
        <w:t xml:space="preserve">reflète le </w:t>
      </w:r>
      <w:r w:rsidR="000C6F33" w:rsidRPr="000C6F33">
        <w:rPr>
          <w:rFonts w:cs="Arial"/>
          <w:b/>
          <w:sz w:val="20"/>
          <w:szCs w:val="20"/>
          <w:lang w:val="fr-CH"/>
        </w:rPr>
        <w:t>processus de mondialisation</w:t>
      </w:r>
      <w:r w:rsidR="000C6F33" w:rsidRPr="000C6F33">
        <w:rPr>
          <w:rFonts w:cs="Arial"/>
          <w:sz w:val="20"/>
          <w:szCs w:val="20"/>
          <w:lang w:val="fr-CH"/>
        </w:rPr>
        <w:t xml:space="preserve"> </w:t>
      </w:r>
      <w:r w:rsidR="00D97333" w:rsidRPr="000C6F33">
        <w:rPr>
          <w:rFonts w:cs="Arial"/>
          <w:sz w:val="20"/>
          <w:szCs w:val="20"/>
          <w:lang w:val="fr-CH"/>
        </w:rPr>
        <w:t>caract</w:t>
      </w:r>
      <w:r w:rsidR="000C6F33" w:rsidRPr="000C6F33">
        <w:rPr>
          <w:rFonts w:cs="Arial"/>
          <w:sz w:val="20"/>
          <w:szCs w:val="20"/>
          <w:lang w:val="fr-CH"/>
        </w:rPr>
        <w:t>é</w:t>
      </w:r>
      <w:r w:rsidR="00D97333" w:rsidRPr="000C6F33">
        <w:rPr>
          <w:rFonts w:cs="Arial"/>
          <w:sz w:val="20"/>
          <w:szCs w:val="20"/>
          <w:lang w:val="fr-CH"/>
        </w:rPr>
        <w:t>ris</w:t>
      </w:r>
      <w:r w:rsidR="000C6F33" w:rsidRPr="000C6F33">
        <w:rPr>
          <w:rFonts w:cs="Arial"/>
          <w:sz w:val="20"/>
          <w:szCs w:val="20"/>
          <w:lang w:val="fr-CH"/>
        </w:rPr>
        <w:t>é par un rôle croissant des entités non étatiques et de la société civile dans des partenariats avec les gouvernements des Etats</w:t>
      </w:r>
      <w:r w:rsidR="00D97333" w:rsidRPr="000C6F33">
        <w:rPr>
          <w:rFonts w:cs="Arial"/>
          <w:sz w:val="20"/>
          <w:szCs w:val="20"/>
          <w:lang w:val="fr-CH"/>
        </w:rPr>
        <w:t>.</w:t>
      </w:r>
    </w:p>
    <w:p w:rsidR="00701885" w:rsidRPr="0045541B" w:rsidRDefault="000C6F33" w:rsidP="000C6F33">
      <w:pPr>
        <w:pStyle w:val="ListParagraph"/>
        <w:numPr>
          <w:ilvl w:val="0"/>
          <w:numId w:val="29"/>
        </w:numPr>
        <w:pBdr>
          <w:top w:val="nil"/>
          <w:left w:val="nil"/>
          <w:bottom w:val="nil"/>
          <w:right w:val="nil"/>
          <w:between w:val="nil"/>
          <w:bar w:val="nil"/>
        </w:pBdr>
        <w:spacing w:after="0" w:line="240" w:lineRule="auto"/>
        <w:jc w:val="both"/>
        <w:rPr>
          <w:rFonts w:eastAsia="Arial" w:cs="Arial"/>
          <w:color w:val="000000" w:themeColor="text1"/>
          <w:sz w:val="20"/>
          <w:szCs w:val="20"/>
          <w:lang w:val="fr-CH"/>
        </w:rPr>
      </w:pPr>
      <w:r w:rsidRPr="000C6F33">
        <w:rPr>
          <w:rFonts w:cs="Arial"/>
          <w:sz w:val="20"/>
          <w:szCs w:val="20"/>
          <w:lang w:val="fr-CH"/>
        </w:rPr>
        <w:t>Tout</w:t>
      </w:r>
      <w:r w:rsidR="00D97333" w:rsidRPr="000C6F33">
        <w:rPr>
          <w:rFonts w:cs="Arial"/>
          <w:sz w:val="20"/>
          <w:szCs w:val="20"/>
          <w:lang w:val="fr-CH"/>
        </w:rPr>
        <w:t xml:space="preserve"> process</w:t>
      </w:r>
      <w:r w:rsidRPr="000C6F33">
        <w:rPr>
          <w:rFonts w:cs="Arial"/>
          <w:sz w:val="20"/>
          <w:szCs w:val="20"/>
          <w:lang w:val="fr-CH"/>
        </w:rPr>
        <w:t>us d’</w:t>
      </w:r>
      <w:r w:rsidR="00D97333" w:rsidRPr="000C6F33">
        <w:rPr>
          <w:rFonts w:cs="Arial"/>
          <w:sz w:val="20"/>
          <w:szCs w:val="20"/>
          <w:lang w:val="fr-CH"/>
        </w:rPr>
        <w:t>autonom</w:t>
      </w:r>
      <w:r w:rsidRPr="000C6F33">
        <w:rPr>
          <w:rFonts w:cs="Arial"/>
          <w:sz w:val="20"/>
          <w:szCs w:val="20"/>
          <w:lang w:val="fr-CH"/>
        </w:rPr>
        <w:t xml:space="preserve">ie exige une </w:t>
      </w:r>
      <w:r w:rsidR="00D97333" w:rsidRPr="000C6F33">
        <w:rPr>
          <w:rFonts w:cs="Arial"/>
          <w:sz w:val="20"/>
          <w:szCs w:val="20"/>
          <w:lang w:val="fr-CH"/>
        </w:rPr>
        <w:t>interaction</w:t>
      </w:r>
      <w:r w:rsidRPr="000C6F33">
        <w:rPr>
          <w:rFonts w:cs="Arial"/>
          <w:sz w:val="20"/>
          <w:szCs w:val="20"/>
          <w:lang w:val="fr-CH"/>
        </w:rPr>
        <w:t xml:space="preserve"> constante</w:t>
      </w:r>
      <w:r w:rsidR="00D97333" w:rsidRPr="000C6F33">
        <w:rPr>
          <w:rFonts w:cs="Arial"/>
          <w:sz w:val="20"/>
          <w:szCs w:val="20"/>
          <w:lang w:val="fr-CH"/>
        </w:rPr>
        <w:t xml:space="preserve">, </w:t>
      </w:r>
      <w:r w:rsidRPr="000C6F33">
        <w:rPr>
          <w:rFonts w:cs="Arial"/>
          <w:sz w:val="20"/>
          <w:szCs w:val="20"/>
          <w:lang w:val="fr-CH"/>
        </w:rPr>
        <w:t xml:space="preserve">des </w:t>
      </w:r>
      <w:r w:rsidR="00D97333" w:rsidRPr="000C6F33">
        <w:rPr>
          <w:rFonts w:cs="Arial"/>
          <w:sz w:val="20"/>
          <w:szCs w:val="20"/>
          <w:lang w:val="fr-CH"/>
        </w:rPr>
        <w:t xml:space="preserve">consultations, </w:t>
      </w:r>
      <w:r w:rsidRPr="000C6F33">
        <w:rPr>
          <w:rFonts w:cs="Arial"/>
          <w:sz w:val="20"/>
          <w:szCs w:val="20"/>
          <w:lang w:val="fr-CH"/>
        </w:rPr>
        <w:t xml:space="preserve">des </w:t>
      </w:r>
      <w:r w:rsidR="00D97333" w:rsidRPr="000C6F33">
        <w:rPr>
          <w:rFonts w:cs="Arial"/>
          <w:sz w:val="20"/>
          <w:szCs w:val="20"/>
          <w:lang w:val="fr-CH"/>
        </w:rPr>
        <w:t>n</w:t>
      </w:r>
      <w:r w:rsidRPr="000C6F33">
        <w:rPr>
          <w:rFonts w:cs="Arial"/>
          <w:sz w:val="20"/>
          <w:szCs w:val="20"/>
          <w:lang w:val="fr-CH"/>
        </w:rPr>
        <w:t>é</w:t>
      </w:r>
      <w:r w:rsidR="00D97333" w:rsidRPr="000C6F33">
        <w:rPr>
          <w:rFonts w:cs="Arial"/>
          <w:sz w:val="20"/>
          <w:szCs w:val="20"/>
          <w:lang w:val="fr-CH"/>
        </w:rPr>
        <w:t>go</w:t>
      </w:r>
      <w:r w:rsidRPr="000C6F33">
        <w:rPr>
          <w:rFonts w:cs="Arial"/>
          <w:sz w:val="20"/>
          <w:szCs w:val="20"/>
          <w:lang w:val="fr-CH"/>
        </w:rPr>
        <w:t>c</w:t>
      </w:r>
      <w:r w:rsidR="00D97333" w:rsidRPr="000C6F33">
        <w:rPr>
          <w:rFonts w:cs="Arial"/>
          <w:sz w:val="20"/>
          <w:szCs w:val="20"/>
          <w:lang w:val="fr-CH"/>
        </w:rPr>
        <w:t xml:space="preserve">iations, </w:t>
      </w:r>
      <w:r w:rsidRPr="000C6F33">
        <w:rPr>
          <w:rFonts w:cs="Arial"/>
          <w:sz w:val="20"/>
          <w:szCs w:val="20"/>
          <w:lang w:val="fr-CH"/>
        </w:rPr>
        <w:t xml:space="preserve">et la recherche du </w:t>
      </w:r>
      <w:r w:rsidR="00D97333" w:rsidRPr="000C6F33">
        <w:rPr>
          <w:rFonts w:cs="Arial"/>
          <w:sz w:val="20"/>
          <w:szCs w:val="20"/>
          <w:lang w:val="fr-CH"/>
        </w:rPr>
        <w:t>consensus</w:t>
      </w:r>
      <w:r w:rsidRPr="000C6F33">
        <w:rPr>
          <w:rFonts w:cs="Arial"/>
          <w:sz w:val="20"/>
          <w:szCs w:val="20"/>
          <w:lang w:val="fr-CH"/>
        </w:rPr>
        <w:t xml:space="preserve"> </w:t>
      </w:r>
      <w:r w:rsidR="00D97333" w:rsidRPr="000C6F33">
        <w:rPr>
          <w:rFonts w:cs="Arial"/>
          <w:sz w:val="20"/>
          <w:szCs w:val="20"/>
          <w:lang w:val="fr-CH"/>
        </w:rPr>
        <w:t>ent</w:t>
      </w:r>
      <w:r w:rsidRPr="000C6F33">
        <w:rPr>
          <w:rFonts w:cs="Arial"/>
          <w:sz w:val="20"/>
          <w:szCs w:val="20"/>
          <w:lang w:val="fr-CH"/>
        </w:rPr>
        <w:t>r</w:t>
      </w:r>
      <w:r w:rsidR="00D97333" w:rsidRPr="000C6F33">
        <w:rPr>
          <w:rFonts w:cs="Arial"/>
          <w:sz w:val="20"/>
          <w:szCs w:val="20"/>
          <w:lang w:val="fr-CH"/>
        </w:rPr>
        <w:t xml:space="preserve">e </w:t>
      </w:r>
      <w:r w:rsidRPr="000C6F33">
        <w:rPr>
          <w:rFonts w:cs="Arial"/>
          <w:sz w:val="20"/>
          <w:szCs w:val="20"/>
          <w:lang w:val="fr-CH"/>
        </w:rPr>
        <w:t>la région et l’Etat central reposant sur des règles claires de répartition des pouvoirs, en particulier la répartition des</w:t>
      </w:r>
      <w:r w:rsidR="00D97333" w:rsidRPr="000C6F33">
        <w:rPr>
          <w:rFonts w:cs="Arial"/>
          <w:sz w:val="20"/>
          <w:szCs w:val="20"/>
          <w:lang w:val="fr-CH"/>
        </w:rPr>
        <w:t xml:space="preserve"> re</w:t>
      </w:r>
      <w:r w:rsidRPr="000C6F33">
        <w:rPr>
          <w:rFonts w:cs="Arial"/>
          <w:sz w:val="20"/>
          <w:szCs w:val="20"/>
          <w:lang w:val="fr-CH"/>
        </w:rPr>
        <w:t>s</w:t>
      </w:r>
      <w:r w:rsidR="00D97333" w:rsidRPr="000C6F33">
        <w:rPr>
          <w:rFonts w:cs="Arial"/>
          <w:sz w:val="20"/>
          <w:szCs w:val="20"/>
          <w:lang w:val="fr-CH"/>
        </w:rPr>
        <w:t>sources</w:t>
      </w:r>
      <w:r w:rsidRPr="000C6F33">
        <w:rPr>
          <w:rFonts w:cs="Arial"/>
          <w:sz w:val="20"/>
          <w:szCs w:val="20"/>
          <w:lang w:val="fr-CH"/>
        </w:rPr>
        <w:t xml:space="preserve"> et des revenus</w:t>
      </w:r>
      <w:r w:rsidR="00D97333" w:rsidRPr="000C6F33">
        <w:rPr>
          <w:rFonts w:cs="Arial"/>
          <w:sz w:val="20"/>
          <w:szCs w:val="20"/>
          <w:lang w:val="fr-CH"/>
        </w:rPr>
        <w:t xml:space="preserve">. </w:t>
      </w:r>
    </w:p>
    <w:p w:rsidR="000C6F33" w:rsidRPr="0045541B" w:rsidRDefault="000C6F33" w:rsidP="000C6F33">
      <w:pPr>
        <w:pStyle w:val="ListParagraph"/>
        <w:pBdr>
          <w:top w:val="nil"/>
          <w:left w:val="nil"/>
          <w:bottom w:val="nil"/>
          <w:right w:val="nil"/>
          <w:between w:val="nil"/>
          <w:bar w:val="nil"/>
        </w:pBdr>
        <w:spacing w:after="0" w:line="240" w:lineRule="auto"/>
        <w:jc w:val="both"/>
        <w:rPr>
          <w:rFonts w:eastAsia="Arial" w:cs="Arial"/>
          <w:color w:val="000000" w:themeColor="text1"/>
          <w:sz w:val="20"/>
          <w:szCs w:val="20"/>
          <w:lang w:val="fr-CH"/>
        </w:rPr>
      </w:pPr>
    </w:p>
    <w:p w:rsidR="00F530D3" w:rsidRPr="00D97333" w:rsidRDefault="00FC5810" w:rsidP="00D97333">
      <w:pPr>
        <w:pBdr>
          <w:top w:val="nil"/>
          <w:left w:val="nil"/>
          <w:bottom w:val="nil"/>
          <w:right w:val="nil"/>
          <w:between w:val="nil"/>
          <w:bar w:val="nil"/>
        </w:pBdr>
        <w:spacing w:after="0" w:line="240" w:lineRule="auto"/>
        <w:jc w:val="both"/>
        <w:rPr>
          <w:rFonts w:cs="Arial"/>
          <w:color w:val="000000" w:themeColor="text1"/>
          <w:sz w:val="20"/>
          <w:szCs w:val="20"/>
          <w:lang w:val="fr-CH"/>
        </w:rPr>
      </w:pPr>
      <w:r>
        <w:rPr>
          <w:rFonts w:cs="Arial"/>
          <w:color w:val="000000" w:themeColor="text1"/>
          <w:sz w:val="20"/>
          <w:szCs w:val="20"/>
          <w:lang w:val="fr-CH"/>
        </w:rPr>
        <w:t xml:space="preserve">10) </w:t>
      </w:r>
      <w:r w:rsidR="00701885" w:rsidRPr="00D97333">
        <w:rPr>
          <w:rFonts w:cs="Arial"/>
          <w:color w:val="000000" w:themeColor="text1"/>
          <w:sz w:val="20"/>
          <w:szCs w:val="20"/>
          <w:lang w:val="fr-CH"/>
        </w:rPr>
        <w:t xml:space="preserve">Le </w:t>
      </w:r>
      <w:r w:rsidR="00701885" w:rsidRPr="00D97333">
        <w:rPr>
          <w:rFonts w:cs="Arial"/>
          <w:b/>
          <w:color w:val="000000" w:themeColor="text1"/>
          <w:sz w:val="20"/>
          <w:szCs w:val="20"/>
          <w:lang w:val="fr-CH"/>
        </w:rPr>
        <w:t>3 juillet 2017</w:t>
      </w:r>
      <w:r w:rsidR="00701885" w:rsidRPr="00D97333">
        <w:rPr>
          <w:rFonts w:cs="Arial"/>
          <w:color w:val="000000" w:themeColor="text1"/>
          <w:sz w:val="20"/>
          <w:szCs w:val="20"/>
          <w:lang w:val="fr-CH"/>
        </w:rPr>
        <w:t xml:space="preserve"> à New York sur « </w:t>
      </w:r>
      <w:r w:rsidR="00701885" w:rsidRPr="00FC5810">
        <w:rPr>
          <w:rFonts w:cs="Arial"/>
          <w:b/>
          <w:color w:val="000000" w:themeColor="text1"/>
          <w:sz w:val="20"/>
          <w:szCs w:val="20"/>
          <w:lang w:val="fr-CH"/>
        </w:rPr>
        <w:t>Régionalisation et autonomie territoriale : différences, singularités, complémentarités</w:t>
      </w:r>
      <w:r w:rsidR="00701885" w:rsidRPr="00D97333">
        <w:rPr>
          <w:rFonts w:cs="Arial"/>
          <w:color w:val="000000" w:themeColor="text1"/>
          <w:sz w:val="20"/>
          <w:szCs w:val="20"/>
          <w:lang w:val="fr-CH"/>
        </w:rPr>
        <w:t> »</w:t>
      </w:r>
      <w:r>
        <w:rPr>
          <w:rFonts w:cs="Arial"/>
          <w:color w:val="000000" w:themeColor="text1"/>
          <w:sz w:val="20"/>
          <w:szCs w:val="20"/>
          <w:lang w:val="fr-CH"/>
        </w:rPr>
        <w:t>,</w:t>
      </w:r>
      <w:r w:rsidR="008E0D65">
        <w:rPr>
          <w:rFonts w:cs="Arial"/>
          <w:color w:val="000000" w:themeColor="text1"/>
          <w:sz w:val="20"/>
          <w:szCs w:val="20"/>
          <w:lang w:val="fr-CH"/>
        </w:rPr>
        <w:t xml:space="preserve"> séminaire</w:t>
      </w:r>
      <w:r>
        <w:rPr>
          <w:rFonts w:cs="Arial"/>
          <w:color w:val="000000" w:themeColor="text1"/>
          <w:sz w:val="20"/>
          <w:szCs w:val="20"/>
          <w:lang w:val="fr-CH"/>
        </w:rPr>
        <w:t xml:space="preserve"> qui a étudié des expériences en </w:t>
      </w:r>
      <w:r w:rsidR="00F530D3" w:rsidRPr="00D97333">
        <w:rPr>
          <w:rFonts w:cs="Arial"/>
          <w:color w:val="000000" w:themeColor="text1"/>
          <w:sz w:val="20"/>
          <w:szCs w:val="20"/>
          <w:lang w:val="fr-CH"/>
        </w:rPr>
        <w:t>Asie du Sud-Est, en Europe occidentale et au Canada.</w:t>
      </w:r>
    </w:p>
    <w:p w:rsidR="000C6F33" w:rsidRDefault="00F530D3" w:rsidP="000C6F33">
      <w:pPr>
        <w:pStyle w:val="ListParagraph"/>
        <w:numPr>
          <w:ilvl w:val="0"/>
          <w:numId w:val="30"/>
        </w:numPr>
        <w:pBdr>
          <w:top w:val="nil"/>
          <w:left w:val="nil"/>
          <w:bottom w:val="nil"/>
          <w:right w:val="nil"/>
          <w:between w:val="nil"/>
          <w:bar w:val="nil"/>
        </w:pBdr>
        <w:spacing w:after="0" w:line="240" w:lineRule="auto"/>
        <w:jc w:val="both"/>
        <w:rPr>
          <w:rFonts w:cs="Arial"/>
          <w:color w:val="000000" w:themeColor="text1"/>
          <w:sz w:val="20"/>
          <w:szCs w:val="20"/>
          <w:lang w:val="fr-CH"/>
        </w:rPr>
      </w:pPr>
      <w:r w:rsidRPr="000C6F33">
        <w:rPr>
          <w:rFonts w:cs="Arial"/>
          <w:color w:val="000000" w:themeColor="text1"/>
          <w:sz w:val="20"/>
          <w:szCs w:val="20"/>
          <w:lang w:val="fr-CH"/>
        </w:rPr>
        <w:t xml:space="preserve">Dans la plupart de ces situations, l’autonomie est apparue comme un moyen efficace et durable de </w:t>
      </w:r>
      <w:r w:rsidRPr="000C6F33">
        <w:rPr>
          <w:rFonts w:cs="Arial"/>
          <w:b/>
          <w:color w:val="000000" w:themeColor="text1"/>
          <w:sz w:val="20"/>
          <w:szCs w:val="20"/>
          <w:lang w:val="fr-CH"/>
        </w:rPr>
        <w:t>règlement de conflits</w:t>
      </w:r>
      <w:r w:rsidRPr="000C6F33">
        <w:rPr>
          <w:rFonts w:cs="Arial"/>
          <w:color w:val="000000" w:themeColor="text1"/>
          <w:sz w:val="20"/>
          <w:szCs w:val="20"/>
          <w:lang w:val="fr-CH"/>
        </w:rPr>
        <w:t xml:space="preserve"> ou de litiges entre des groupes différents et souvent opposés, ou entre le pouvoir central de l’Etat et des minorités aspirant à gérer elles-mêmes leurs affaires et à protéger une forte identité. </w:t>
      </w:r>
    </w:p>
    <w:p w:rsidR="000C6F33" w:rsidRDefault="00F530D3" w:rsidP="000C6F33">
      <w:pPr>
        <w:pStyle w:val="ListParagraph"/>
        <w:numPr>
          <w:ilvl w:val="0"/>
          <w:numId w:val="30"/>
        </w:numPr>
        <w:pBdr>
          <w:top w:val="nil"/>
          <w:left w:val="nil"/>
          <w:bottom w:val="nil"/>
          <w:right w:val="nil"/>
          <w:between w:val="nil"/>
          <w:bar w:val="nil"/>
        </w:pBdr>
        <w:spacing w:after="0" w:line="240" w:lineRule="auto"/>
        <w:jc w:val="both"/>
        <w:rPr>
          <w:rFonts w:cs="Arial"/>
          <w:color w:val="000000" w:themeColor="text1"/>
          <w:sz w:val="20"/>
          <w:szCs w:val="20"/>
          <w:lang w:val="fr-CH"/>
        </w:rPr>
      </w:pPr>
      <w:r w:rsidRPr="000C6F33">
        <w:rPr>
          <w:rFonts w:cs="Arial"/>
          <w:color w:val="000000" w:themeColor="text1"/>
          <w:sz w:val="20"/>
          <w:szCs w:val="20"/>
          <w:lang w:val="fr-CH"/>
        </w:rPr>
        <w:t xml:space="preserve">Le degré de succès d’un système d’autonomie territoriale ou de régionalisation est lié aux </w:t>
      </w:r>
      <w:r w:rsidRPr="000C6F33">
        <w:rPr>
          <w:rFonts w:cs="Arial"/>
          <w:b/>
          <w:color w:val="000000" w:themeColor="text1"/>
          <w:sz w:val="20"/>
          <w:szCs w:val="20"/>
          <w:lang w:val="fr-CH"/>
        </w:rPr>
        <w:t>mécanismes mis en place pour partager le pouvoir</w:t>
      </w:r>
      <w:r w:rsidRPr="000C6F33">
        <w:rPr>
          <w:rFonts w:cs="Arial"/>
          <w:color w:val="000000" w:themeColor="text1"/>
          <w:sz w:val="20"/>
          <w:szCs w:val="20"/>
          <w:lang w:val="fr-CH"/>
        </w:rPr>
        <w:t xml:space="preserve"> et les ressources naturelles. </w:t>
      </w:r>
      <w:r w:rsidR="000C6F33">
        <w:rPr>
          <w:rFonts w:cs="Arial"/>
          <w:color w:val="000000" w:themeColor="text1"/>
          <w:sz w:val="20"/>
          <w:szCs w:val="20"/>
          <w:lang w:val="fr-CH"/>
        </w:rPr>
        <w:t>Quelles que soient l</w:t>
      </w:r>
      <w:r w:rsidRPr="000C6F33">
        <w:rPr>
          <w:rFonts w:cs="Arial"/>
          <w:color w:val="000000" w:themeColor="text1"/>
          <w:sz w:val="20"/>
          <w:szCs w:val="20"/>
          <w:lang w:val="fr-CH"/>
        </w:rPr>
        <w:t>es institutions résultant de la négociation</w:t>
      </w:r>
      <w:r w:rsidR="000C6F33">
        <w:rPr>
          <w:rFonts w:cs="Arial"/>
          <w:color w:val="000000" w:themeColor="text1"/>
          <w:sz w:val="20"/>
          <w:szCs w:val="20"/>
          <w:lang w:val="fr-CH"/>
        </w:rPr>
        <w:t xml:space="preserve">, elles </w:t>
      </w:r>
      <w:r w:rsidRPr="000C6F33">
        <w:rPr>
          <w:rFonts w:cs="Arial"/>
          <w:color w:val="000000" w:themeColor="text1"/>
          <w:sz w:val="20"/>
          <w:szCs w:val="20"/>
          <w:lang w:val="fr-CH"/>
        </w:rPr>
        <w:t>ont en commun l’acceptation et le respect de la souveraineté de l’Etat (unitaire ou fédéral) par sa ou ses composantes autonomes</w:t>
      </w:r>
      <w:r w:rsidR="000C6F33">
        <w:rPr>
          <w:rFonts w:cs="Arial"/>
          <w:color w:val="000000" w:themeColor="text1"/>
          <w:sz w:val="20"/>
          <w:szCs w:val="20"/>
          <w:lang w:val="fr-CH"/>
        </w:rPr>
        <w:t xml:space="preserve">, souvent </w:t>
      </w:r>
      <w:r w:rsidRPr="000C6F33">
        <w:rPr>
          <w:rFonts w:cs="Arial"/>
          <w:color w:val="000000" w:themeColor="text1"/>
          <w:sz w:val="20"/>
          <w:szCs w:val="20"/>
          <w:lang w:val="fr-CH"/>
        </w:rPr>
        <w:t xml:space="preserve">sur la base de la subsidiarité. </w:t>
      </w:r>
    </w:p>
    <w:p w:rsidR="00F530D3" w:rsidRPr="000C6F33" w:rsidRDefault="00F530D3" w:rsidP="000C6F33">
      <w:pPr>
        <w:pStyle w:val="ListParagraph"/>
        <w:numPr>
          <w:ilvl w:val="0"/>
          <w:numId w:val="30"/>
        </w:numPr>
        <w:pBdr>
          <w:top w:val="nil"/>
          <w:left w:val="nil"/>
          <w:bottom w:val="nil"/>
          <w:right w:val="nil"/>
          <w:between w:val="nil"/>
          <w:bar w:val="nil"/>
        </w:pBdr>
        <w:spacing w:after="0" w:line="240" w:lineRule="auto"/>
        <w:jc w:val="both"/>
        <w:rPr>
          <w:rFonts w:cs="Arial"/>
          <w:color w:val="000000" w:themeColor="text1"/>
          <w:sz w:val="20"/>
          <w:szCs w:val="20"/>
          <w:lang w:val="fr-CH"/>
        </w:rPr>
      </w:pPr>
      <w:r w:rsidRPr="000C6F33">
        <w:rPr>
          <w:rFonts w:cs="Arial"/>
          <w:color w:val="000000" w:themeColor="text1"/>
          <w:sz w:val="20"/>
          <w:szCs w:val="20"/>
          <w:lang w:val="fr-CH"/>
        </w:rPr>
        <w:lastRenderedPageBreak/>
        <w:t xml:space="preserve">Même dans les pays développés largement décentralisés tels que le Canada, les litiges entre provinces autonomes ou entre elles et le gouvernement fédéral ne disparaissent pas pour autant. Un gouvernement central peut toujours être tenté de revenir sur des compétences accordées à des régions autonomes, surtout lorsque le pouvoir central est exercé par un groupe ethnique ou religieux dominant, comme en Asie du Sud-Est. C’est pourquoi il est crucial pour le succès des statuts d’autonomie que soient constamment pratiqués le </w:t>
      </w:r>
      <w:r w:rsidRPr="000C6F33">
        <w:rPr>
          <w:rFonts w:cs="Arial"/>
          <w:b/>
          <w:color w:val="000000" w:themeColor="text1"/>
          <w:sz w:val="20"/>
          <w:szCs w:val="20"/>
          <w:lang w:val="fr-CH"/>
        </w:rPr>
        <w:t>dialogue, la concertation, la négociation</w:t>
      </w:r>
      <w:r w:rsidRPr="000C6F33">
        <w:rPr>
          <w:rFonts w:cs="Arial"/>
          <w:color w:val="000000" w:themeColor="text1"/>
          <w:sz w:val="20"/>
          <w:szCs w:val="20"/>
          <w:lang w:val="fr-CH"/>
        </w:rPr>
        <w:t xml:space="preserve">, non seulement pour la mise en place initiale du statut, mais </w:t>
      </w:r>
      <w:r w:rsidRPr="000C6F33">
        <w:rPr>
          <w:rFonts w:cs="Arial"/>
          <w:b/>
          <w:color w:val="000000" w:themeColor="text1"/>
          <w:sz w:val="20"/>
          <w:szCs w:val="20"/>
          <w:lang w:val="fr-CH"/>
        </w:rPr>
        <w:t>tout au long de la mise en œuvre des accords d’autonomie</w:t>
      </w:r>
      <w:r w:rsidRPr="000C6F33">
        <w:rPr>
          <w:rFonts w:cs="Arial"/>
          <w:color w:val="000000" w:themeColor="text1"/>
          <w:sz w:val="20"/>
          <w:szCs w:val="20"/>
          <w:lang w:val="fr-CH"/>
        </w:rPr>
        <w:t>.</w:t>
      </w:r>
      <w:r w:rsidR="000C6F33">
        <w:rPr>
          <w:rFonts w:cs="Arial"/>
          <w:color w:val="000000" w:themeColor="text1"/>
          <w:sz w:val="20"/>
          <w:szCs w:val="20"/>
          <w:lang w:val="fr-CH"/>
        </w:rPr>
        <w:t xml:space="preserve"> </w:t>
      </w:r>
      <w:r w:rsidRPr="000C6F33">
        <w:rPr>
          <w:rFonts w:cs="Arial"/>
          <w:color w:val="000000" w:themeColor="text1"/>
          <w:sz w:val="20"/>
          <w:szCs w:val="20"/>
          <w:lang w:val="fr-CH"/>
        </w:rPr>
        <w:t>A cet égard, l’Initiative marocaine pour le Sahara se compose désormais d’un « paquet » incluant le plan de 2007 pour la négociation d’un statut d’autonomie, le régionalisme avancé, la réforme constitutionnelle et le « nouveau modèle de développement ». Ces éléments combinés répondent aux critères de succès et de durabilité ci-dessus évoqués.</w:t>
      </w:r>
    </w:p>
    <w:p w:rsidR="00701885" w:rsidRDefault="00701885" w:rsidP="00D97333">
      <w:pPr>
        <w:pBdr>
          <w:top w:val="nil"/>
          <w:left w:val="nil"/>
          <w:bottom w:val="nil"/>
          <w:right w:val="nil"/>
          <w:between w:val="nil"/>
          <w:bar w:val="nil"/>
        </w:pBdr>
        <w:spacing w:after="0" w:line="240" w:lineRule="auto"/>
        <w:jc w:val="both"/>
        <w:rPr>
          <w:rFonts w:cs="Arial"/>
          <w:color w:val="000000" w:themeColor="text1"/>
          <w:sz w:val="20"/>
          <w:szCs w:val="20"/>
          <w:lang w:val="fr-CH"/>
        </w:rPr>
      </w:pPr>
    </w:p>
    <w:p w:rsidR="00701885" w:rsidRPr="00D97333" w:rsidRDefault="00701885" w:rsidP="00D97333">
      <w:pPr>
        <w:pBdr>
          <w:top w:val="nil"/>
          <w:left w:val="nil"/>
          <w:bottom w:val="nil"/>
          <w:right w:val="nil"/>
          <w:between w:val="nil"/>
          <w:bar w:val="nil"/>
        </w:pBdr>
        <w:spacing w:after="0" w:line="240" w:lineRule="auto"/>
        <w:jc w:val="both"/>
        <w:rPr>
          <w:rFonts w:cs="Arial"/>
          <w:color w:val="000000" w:themeColor="text1"/>
          <w:sz w:val="20"/>
          <w:szCs w:val="20"/>
          <w:lang w:val="fr-CH"/>
        </w:rPr>
      </w:pPr>
    </w:p>
    <w:p w:rsidR="00B75E2B" w:rsidRPr="00D97333" w:rsidRDefault="00B75E2B" w:rsidP="00D97333">
      <w:pPr>
        <w:pBdr>
          <w:top w:val="nil"/>
          <w:left w:val="nil"/>
          <w:bottom w:val="nil"/>
          <w:right w:val="nil"/>
          <w:between w:val="nil"/>
          <w:bar w:val="nil"/>
        </w:pBdr>
        <w:spacing w:after="0" w:line="240" w:lineRule="auto"/>
        <w:jc w:val="both"/>
        <w:rPr>
          <w:rFonts w:cs="Arial"/>
          <w:color w:val="000000" w:themeColor="text1"/>
          <w:sz w:val="20"/>
          <w:szCs w:val="20"/>
          <w:lang w:val="fr-CH"/>
        </w:rPr>
      </w:pPr>
    </w:p>
    <w:sectPr w:rsidR="00B75E2B" w:rsidRPr="00D97333" w:rsidSect="00E0577B">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7B" w:rsidRDefault="00E0577B" w:rsidP="00701885">
      <w:pPr>
        <w:spacing w:after="0" w:line="240" w:lineRule="auto"/>
      </w:pPr>
      <w:r>
        <w:separator/>
      </w:r>
    </w:p>
  </w:endnote>
  <w:endnote w:type="continuationSeparator" w:id="0">
    <w:p w:rsidR="00E0577B" w:rsidRDefault="00E0577B" w:rsidP="0070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Garamond-Ligh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93254"/>
      <w:docPartObj>
        <w:docPartGallery w:val="Page Numbers (Bottom of Page)"/>
        <w:docPartUnique/>
      </w:docPartObj>
    </w:sdtPr>
    <w:sdtEndPr>
      <w:rPr>
        <w:noProof/>
      </w:rPr>
    </w:sdtEndPr>
    <w:sdtContent>
      <w:p w:rsidR="00E0577B" w:rsidRDefault="00E0577B">
        <w:pPr>
          <w:pStyle w:val="Footer"/>
          <w:jc w:val="right"/>
        </w:pPr>
        <w:r>
          <w:fldChar w:fldCharType="begin"/>
        </w:r>
        <w:r>
          <w:instrText xml:space="preserve"> PAGE   \* MERGEFORMAT </w:instrText>
        </w:r>
        <w:r>
          <w:fldChar w:fldCharType="separate"/>
        </w:r>
        <w:r w:rsidR="008670B8">
          <w:rPr>
            <w:noProof/>
          </w:rPr>
          <w:t>5</w:t>
        </w:r>
        <w:r>
          <w:rPr>
            <w:noProof/>
          </w:rPr>
          <w:fldChar w:fldCharType="end"/>
        </w:r>
      </w:p>
    </w:sdtContent>
  </w:sdt>
  <w:p w:rsidR="00E0577B" w:rsidRDefault="00E05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7B" w:rsidRDefault="00E0577B" w:rsidP="00701885">
      <w:pPr>
        <w:spacing w:after="0" w:line="240" w:lineRule="auto"/>
      </w:pPr>
      <w:r>
        <w:separator/>
      </w:r>
    </w:p>
  </w:footnote>
  <w:footnote w:type="continuationSeparator" w:id="0">
    <w:p w:rsidR="00E0577B" w:rsidRDefault="00E0577B" w:rsidP="00701885">
      <w:pPr>
        <w:spacing w:after="0" w:line="240" w:lineRule="auto"/>
      </w:pPr>
      <w:r>
        <w:continuationSeparator/>
      </w:r>
    </w:p>
  </w:footnote>
  <w:footnote w:id="1">
    <w:p w:rsidR="00E0577B" w:rsidRPr="00D97333" w:rsidRDefault="00E0577B">
      <w:pPr>
        <w:pStyle w:val="FootnoteText"/>
        <w:rPr>
          <w:rFonts w:asciiTheme="minorHAnsi" w:hAnsiTheme="minorHAnsi"/>
          <w:sz w:val="18"/>
          <w:szCs w:val="18"/>
          <w:lang w:val="fr-CH"/>
        </w:rPr>
      </w:pPr>
      <w:r w:rsidRPr="00D97333">
        <w:rPr>
          <w:rStyle w:val="FootnoteReference"/>
          <w:rFonts w:asciiTheme="minorHAnsi" w:hAnsiTheme="minorHAnsi"/>
          <w:sz w:val="18"/>
          <w:szCs w:val="18"/>
        </w:rPr>
        <w:footnoteRef/>
      </w:r>
      <w:r w:rsidRPr="00D97333">
        <w:rPr>
          <w:rFonts w:asciiTheme="minorHAnsi" w:hAnsiTheme="minorHAnsi"/>
          <w:sz w:val="18"/>
          <w:szCs w:val="18"/>
        </w:rPr>
        <w:t xml:space="preserve"> </w:t>
      </w:r>
      <w:r w:rsidRPr="00D97333">
        <w:rPr>
          <w:rFonts w:asciiTheme="minorHAnsi" w:hAnsiTheme="minorHAnsi"/>
          <w:sz w:val="18"/>
          <w:szCs w:val="18"/>
          <w:lang w:val="fr-CH"/>
        </w:rPr>
        <w:t>Conseiller principal, Centre de Politique de Sécurité de Genève (GCSP). L’auteur s’exprime à titre personnel.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DE" w:rsidRPr="00D97333" w:rsidRDefault="007D0BDE" w:rsidP="007D0BDE">
    <w:pPr>
      <w:pStyle w:val="Default"/>
      <w:tabs>
        <w:tab w:val="left" w:pos="10206"/>
      </w:tabs>
      <w:ind w:right="-22"/>
      <w:jc w:val="center"/>
      <w:rPr>
        <w:rFonts w:ascii="Arial" w:hAnsi="Arial" w:cs="Arial"/>
        <w:b/>
        <w:sz w:val="20"/>
        <w:szCs w:val="20"/>
      </w:rPr>
    </w:pPr>
    <w:r w:rsidRPr="00D97333">
      <w:rPr>
        <w:rFonts w:ascii="Arial" w:hAnsi="Arial" w:cs="Arial"/>
        <w:b/>
        <w:sz w:val="20"/>
        <w:szCs w:val="20"/>
      </w:rPr>
      <w:t>Conférence académique internationale </w:t>
    </w:r>
  </w:p>
  <w:p w:rsidR="007D0BDE" w:rsidRPr="00D97333" w:rsidRDefault="007D0BDE" w:rsidP="007D0BDE">
    <w:pPr>
      <w:pStyle w:val="Default"/>
      <w:tabs>
        <w:tab w:val="left" w:pos="10206"/>
      </w:tabs>
      <w:ind w:right="-22"/>
      <w:jc w:val="center"/>
      <w:rPr>
        <w:rFonts w:ascii="Arial" w:hAnsi="Arial" w:cs="Arial"/>
        <w:b/>
        <w:sz w:val="20"/>
        <w:szCs w:val="20"/>
      </w:rPr>
    </w:pPr>
    <w:r w:rsidRPr="00D97333">
      <w:rPr>
        <w:rFonts w:ascii="Arial" w:hAnsi="Arial" w:cs="Arial"/>
        <w:b/>
        <w:sz w:val="20"/>
        <w:szCs w:val="20"/>
      </w:rPr>
      <w:t>« </w:t>
    </w:r>
    <w:r w:rsidRPr="00D97333">
      <w:rPr>
        <w:rFonts w:ascii="Arial" w:hAnsi="Arial" w:cs="Arial"/>
        <w:b/>
        <w:smallCaps/>
        <w:sz w:val="20"/>
        <w:szCs w:val="20"/>
      </w:rPr>
      <w:t>Modèles d’autonomie territoriale : points communs et différences</w:t>
    </w:r>
    <w:r w:rsidRPr="00D97333">
      <w:rPr>
        <w:rFonts w:ascii="Arial" w:hAnsi="Arial" w:cs="Arial"/>
        <w:b/>
        <w:sz w:val="20"/>
        <w:szCs w:val="20"/>
      </w:rPr>
      <w:t> »</w:t>
    </w:r>
  </w:p>
  <w:p w:rsidR="007D0BDE" w:rsidRPr="00D97333" w:rsidRDefault="007D0BDE" w:rsidP="007D0BDE">
    <w:pPr>
      <w:pStyle w:val="Default"/>
      <w:tabs>
        <w:tab w:val="left" w:pos="10206"/>
      </w:tabs>
      <w:ind w:right="-22"/>
      <w:jc w:val="center"/>
      <w:rPr>
        <w:rFonts w:ascii="Arial" w:hAnsi="Arial" w:cs="Arial"/>
        <w:b/>
        <w:sz w:val="20"/>
        <w:szCs w:val="20"/>
      </w:rPr>
    </w:pPr>
    <w:r w:rsidRPr="00D97333">
      <w:rPr>
        <w:rFonts w:ascii="Arial" w:hAnsi="Arial" w:cs="Arial"/>
        <w:b/>
        <w:sz w:val="20"/>
        <w:szCs w:val="20"/>
      </w:rPr>
      <w:t>(Dakhla, les 2 et 3 juillet 2018)</w:t>
    </w:r>
  </w:p>
  <w:p w:rsidR="00E0577B" w:rsidRDefault="00E05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336"/>
    <w:multiLevelType w:val="hybridMultilevel"/>
    <w:tmpl w:val="0D12ADE0"/>
    <w:lvl w:ilvl="0" w:tplc="4B6A8218">
      <w:numFmt w:val="bullet"/>
      <w:lvlText w:val="-"/>
      <w:lvlJc w:val="left"/>
      <w:pPr>
        <w:ind w:left="720" w:hanging="360"/>
      </w:pPr>
      <w:rPr>
        <w:rFonts w:ascii="Calibri" w:eastAsiaTheme="minorHAnsi" w:hAnsi="Calibri" w:cs="Garamon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27745"/>
    <w:multiLevelType w:val="hybridMultilevel"/>
    <w:tmpl w:val="6E7AAD12"/>
    <w:lvl w:ilvl="0" w:tplc="4B6A8218">
      <w:numFmt w:val="bullet"/>
      <w:lvlText w:val="-"/>
      <w:lvlJc w:val="left"/>
      <w:pPr>
        <w:ind w:left="720" w:hanging="360"/>
      </w:pPr>
      <w:rPr>
        <w:rFonts w:ascii="Calibri" w:eastAsiaTheme="minorHAnsi" w:hAnsi="Calibri" w:cs="Garamon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127A7"/>
    <w:multiLevelType w:val="hybridMultilevel"/>
    <w:tmpl w:val="ED965BE6"/>
    <w:lvl w:ilvl="0" w:tplc="3A7E58F4">
      <w:start w:val="1"/>
      <w:numFmt w:val="decimal"/>
      <w:lvlText w:val="%1)"/>
      <w:lvlJc w:val="left"/>
      <w:pPr>
        <w:ind w:left="72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B6241"/>
    <w:multiLevelType w:val="hybridMultilevel"/>
    <w:tmpl w:val="264EC4A8"/>
    <w:lvl w:ilvl="0" w:tplc="621C5A2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E534E5"/>
    <w:multiLevelType w:val="hybridMultilevel"/>
    <w:tmpl w:val="D168011C"/>
    <w:lvl w:ilvl="0" w:tplc="4B6A8218">
      <w:numFmt w:val="bullet"/>
      <w:lvlText w:val="-"/>
      <w:lvlJc w:val="left"/>
      <w:pPr>
        <w:ind w:left="720" w:hanging="360"/>
      </w:pPr>
      <w:rPr>
        <w:rFonts w:ascii="Calibri" w:eastAsiaTheme="minorHAnsi" w:hAnsi="Calibri" w:cs="Garamon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31B9F"/>
    <w:multiLevelType w:val="hybridMultilevel"/>
    <w:tmpl w:val="A2C84824"/>
    <w:lvl w:ilvl="0" w:tplc="4B6A8218">
      <w:numFmt w:val="bullet"/>
      <w:lvlText w:val="-"/>
      <w:lvlJc w:val="left"/>
      <w:pPr>
        <w:ind w:left="720" w:hanging="360"/>
      </w:pPr>
      <w:rPr>
        <w:rFonts w:ascii="Calibri" w:eastAsiaTheme="minorHAnsi" w:hAnsi="Calibri" w:cs="Garamon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37A9F"/>
    <w:multiLevelType w:val="hybridMultilevel"/>
    <w:tmpl w:val="4F54A4B2"/>
    <w:lvl w:ilvl="0" w:tplc="4B6A8218">
      <w:numFmt w:val="bullet"/>
      <w:lvlText w:val="-"/>
      <w:lvlJc w:val="left"/>
      <w:pPr>
        <w:ind w:left="720" w:hanging="360"/>
      </w:pPr>
      <w:rPr>
        <w:rFonts w:ascii="Calibri" w:eastAsiaTheme="minorHAnsi" w:hAnsi="Calibri" w:cs="Garamon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D15260"/>
    <w:multiLevelType w:val="hybridMultilevel"/>
    <w:tmpl w:val="01F2DD7A"/>
    <w:lvl w:ilvl="0" w:tplc="621C5A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DD6433"/>
    <w:multiLevelType w:val="hybridMultilevel"/>
    <w:tmpl w:val="6F2A0416"/>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2C2C3C6C"/>
    <w:multiLevelType w:val="hybridMultilevel"/>
    <w:tmpl w:val="5EC8AADA"/>
    <w:lvl w:ilvl="0" w:tplc="621C5A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C7480A"/>
    <w:multiLevelType w:val="hybridMultilevel"/>
    <w:tmpl w:val="DA72ECAA"/>
    <w:lvl w:ilvl="0" w:tplc="4B6A8218">
      <w:numFmt w:val="bullet"/>
      <w:lvlText w:val="-"/>
      <w:lvlJc w:val="left"/>
      <w:pPr>
        <w:ind w:left="720" w:hanging="360"/>
      </w:pPr>
      <w:rPr>
        <w:rFonts w:ascii="Calibri" w:eastAsiaTheme="minorHAnsi" w:hAnsi="Calibri" w:cs="Garamon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97127B"/>
    <w:multiLevelType w:val="hybridMultilevel"/>
    <w:tmpl w:val="45C880D6"/>
    <w:lvl w:ilvl="0" w:tplc="100C0001">
      <w:start w:val="1"/>
      <w:numFmt w:val="bullet"/>
      <w:lvlText w:val=""/>
      <w:lvlJc w:val="left"/>
      <w:pPr>
        <w:ind w:left="1080" w:hanging="360"/>
      </w:pPr>
      <w:rPr>
        <w:rFonts w:ascii="Symbol" w:hAnsi="Symbol"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nsid w:val="3643605E"/>
    <w:multiLevelType w:val="hybridMultilevel"/>
    <w:tmpl w:val="85E2A3D8"/>
    <w:lvl w:ilvl="0" w:tplc="4B6A8218">
      <w:numFmt w:val="bullet"/>
      <w:lvlText w:val="-"/>
      <w:lvlJc w:val="left"/>
      <w:pPr>
        <w:ind w:left="720" w:hanging="360"/>
      </w:pPr>
      <w:rPr>
        <w:rFonts w:ascii="Calibri" w:eastAsiaTheme="minorHAnsi" w:hAnsi="Calibri" w:cs="Garamon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632746"/>
    <w:multiLevelType w:val="hybridMultilevel"/>
    <w:tmpl w:val="AB08CAC8"/>
    <w:lvl w:ilvl="0" w:tplc="621C5A2E">
      <w:start w:val="1"/>
      <w:numFmt w:val="bullet"/>
      <w:lvlText w:val="‒"/>
      <w:lvlJc w:val="left"/>
      <w:pPr>
        <w:ind w:left="1004" w:hanging="360"/>
      </w:pPr>
      <w:rPr>
        <w:rFonts w:ascii="Arial"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37811BBC"/>
    <w:multiLevelType w:val="hybridMultilevel"/>
    <w:tmpl w:val="4C3AE60E"/>
    <w:lvl w:ilvl="0" w:tplc="4B6A8218">
      <w:numFmt w:val="bullet"/>
      <w:lvlText w:val="-"/>
      <w:lvlJc w:val="left"/>
      <w:pPr>
        <w:ind w:left="720" w:hanging="360"/>
      </w:pPr>
      <w:rPr>
        <w:rFonts w:ascii="Calibri" w:eastAsiaTheme="minorHAnsi" w:hAnsi="Calibri" w:cs="Garamon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325B67"/>
    <w:multiLevelType w:val="hybridMultilevel"/>
    <w:tmpl w:val="82289AF0"/>
    <w:lvl w:ilvl="0" w:tplc="621C5A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2F605E"/>
    <w:multiLevelType w:val="hybridMultilevel"/>
    <w:tmpl w:val="9B827084"/>
    <w:lvl w:ilvl="0" w:tplc="BCD031E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E3373B"/>
    <w:multiLevelType w:val="hybridMultilevel"/>
    <w:tmpl w:val="28B4C79C"/>
    <w:lvl w:ilvl="0" w:tplc="621C5A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D73F6D"/>
    <w:multiLevelType w:val="hybridMultilevel"/>
    <w:tmpl w:val="F3941172"/>
    <w:lvl w:ilvl="0" w:tplc="621C5A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AF0B41"/>
    <w:multiLevelType w:val="hybridMultilevel"/>
    <w:tmpl w:val="BF0E2684"/>
    <w:lvl w:ilvl="0" w:tplc="621C5A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534F9C"/>
    <w:multiLevelType w:val="hybridMultilevel"/>
    <w:tmpl w:val="C962681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nsid w:val="5FEC24A5"/>
    <w:multiLevelType w:val="hybridMultilevel"/>
    <w:tmpl w:val="33D4955A"/>
    <w:lvl w:ilvl="0" w:tplc="621C5A2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59D7FE0"/>
    <w:multiLevelType w:val="hybridMultilevel"/>
    <w:tmpl w:val="2DC4157A"/>
    <w:lvl w:ilvl="0" w:tplc="4B6A8218">
      <w:numFmt w:val="bullet"/>
      <w:lvlText w:val="-"/>
      <w:lvlJc w:val="left"/>
      <w:pPr>
        <w:ind w:left="720" w:hanging="360"/>
      </w:pPr>
      <w:rPr>
        <w:rFonts w:ascii="Calibri" w:eastAsiaTheme="minorHAnsi" w:hAnsi="Calibri" w:cs="Garamon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B864BC"/>
    <w:multiLevelType w:val="hybridMultilevel"/>
    <w:tmpl w:val="099045A6"/>
    <w:lvl w:ilvl="0" w:tplc="3A7E58F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B36CDB"/>
    <w:multiLevelType w:val="hybridMultilevel"/>
    <w:tmpl w:val="B576DD9E"/>
    <w:lvl w:ilvl="0" w:tplc="621C5A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BC1B48"/>
    <w:multiLevelType w:val="hybridMultilevel"/>
    <w:tmpl w:val="A6B04DC4"/>
    <w:lvl w:ilvl="0" w:tplc="621C5A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61233A"/>
    <w:multiLevelType w:val="hybridMultilevel"/>
    <w:tmpl w:val="5F1E9BC0"/>
    <w:lvl w:ilvl="0" w:tplc="26328E8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634693"/>
    <w:multiLevelType w:val="hybridMultilevel"/>
    <w:tmpl w:val="79E83C88"/>
    <w:lvl w:ilvl="0" w:tplc="621C5A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0222D8"/>
    <w:multiLevelType w:val="hybridMultilevel"/>
    <w:tmpl w:val="59A0CFFE"/>
    <w:lvl w:ilvl="0" w:tplc="621C5A2E">
      <w:start w:val="1"/>
      <w:numFmt w:val="bullet"/>
      <w:lvlText w:val="‒"/>
      <w:lvlJc w:val="left"/>
      <w:pPr>
        <w:ind w:left="720" w:hanging="360"/>
      </w:pPr>
      <w:rPr>
        <w:rFonts w:ascii="Arial" w:hAnsi="Arial"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7C965D87"/>
    <w:multiLevelType w:val="hybridMultilevel"/>
    <w:tmpl w:val="8EFE5240"/>
    <w:lvl w:ilvl="0" w:tplc="621C5A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8"/>
  </w:num>
  <w:num w:numId="4">
    <w:abstractNumId w:val="8"/>
  </w:num>
  <w:num w:numId="5">
    <w:abstractNumId w:val="1"/>
  </w:num>
  <w:num w:numId="6">
    <w:abstractNumId w:val="26"/>
  </w:num>
  <w:num w:numId="7">
    <w:abstractNumId w:val="23"/>
  </w:num>
  <w:num w:numId="8">
    <w:abstractNumId w:val="20"/>
  </w:num>
  <w:num w:numId="9">
    <w:abstractNumId w:val="12"/>
  </w:num>
  <w:num w:numId="10">
    <w:abstractNumId w:val="2"/>
  </w:num>
  <w:num w:numId="11">
    <w:abstractNumId w:val="4"/>
  </w:num>
  <w:num w:numId="12">
    <w:abstractNumId w:val="5"/>
  </w:num>
  <w:num w:numId="13">
    <w:abstractNumId w:val="14"/>
  </w:num>
  <w:num w:numId="14">
    <w:abstractNumId w:val="10"/>
  </w:num>
  <w:num w:numId="15">
    <w:abstractNumId w:val="0"/>
  </w:num>
  <w:num w:numId="16">
    <w:abstractNumId w:val="6"/>
  </w:num>
  <w:num w:numId="17">
    <w:abstractNumId w:val="7"/>
  </w:num>
  <w:num w:numId="18">
    <w:abstractNumId w:val="3"/>
  </w:num>
  <w:num w:numId="19">
    <w:abstractNumId w:val="22"/>
  </w:num>
  <w:num w:numId="20">
    <w:abstractNumId w:val="18"/>
  </w:num>
  <w:num w:numId="21">
    <w:abstractNumId w:val="21"/>
  </w:num>
  <w:num w:numId="22">
    <w:abstractNumId w:val="24"/>
  </w:num>
  <w:num w:numId="23">
    <w:abstractNumId w:val="17"/>
  </w:num>
  <w:num w:numId="24">
    <w:abstractNumId w:val="25"/>
  </w:num>
  <w:num w:numId="25">
    <w:abstractNumId w:val="15"/>
  </w:num>
  <w:num w:numId="26">
    <w:abstractNumId w:val="29"/>
  </w:num>
  <w:num w:numId="27">
    <w:abstractNumId w:val="19"/>
  </w:num>
  <w:num w:numId="28">
    <w:abstractNumId w:val="13"/>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CB"/>
    <w:rsid w:val="00086FF0"/>
    <w:rsid w:val="000C6F33"/>
    <w:rsid w:val="001A13AD"/>
    <w:rsid w:val="001B70FA"/>
    <w:rsid w:val="001D4959"/>
    <w:rsid w:val="001F3F7D"/>
    <w:rsid w:val="002243BB"/>
    <w:rsid w:val="003250F5"/>
    <w:rsid w:val="00345CF7"/>
    <w:rsid w:val="003940F5"/>
    <w:rsid w:val="0045541B"/>
    <w:rsid w:val="004C31D2"/>
    <w:rsid w:val="004F05A1"/>
    <w:rsid w:val="005065F0"/>
    <w:rsid w:val="00580D46"/>
    <w:rsid w:val="005E0471"/>
    <w:rsid w:val="005E19E1"/>
    <w:rsid w:val="00600516"/>
    <w:rsid w:val="00646838"/>
    <w:rsid w:val="00701885"/>
    <w:rsid w:val="007170F1"/>
    <w:rsid w:val="00724E18"/>
    <w:rsid w:val="007D0BDE"/>
    <w:rsid w:val="00847DD0"/>
    <w:rsid w:val="008670B8"/>
    <w:rsid w:val="00885517"/>
    <w:rsid w:val="008E0D65"/>
    <w:rsid w:val="0091646C"/>
    <w:rsid w:val="0092592E"/>
    <w:rsid w:val="009437A2"/>
    <w:rsid w:val="0098762E"/>
    <w:rsid w:val="00995D5E"/>
    <w:rsid w:val="009F4767"/>
    <w:rsid w:val="00A87757"/>
    <w:rsid w:val="00A92675"/>
    <w:rsid w:val="00AD2398"/>
    <w:rsid w:val="00B75E2B"/>
    <w:rsid w:val="00C36D30"/>
    <w:rsid w:val="00C52D15"/>
    <w:rsid w:val="00CF261F"/>
    <w:rsid w:val="00D97333"/>
    <w:rsid w:val="00DA46DA"/>
    <w:rsid w:val="00DD675E"/>
    <w:rsid w:val="00E0577B"/>
    <w:rsid w:val="00E059ED"/>
    <w:rsid w:val="00ED08D3"/>
    <w:rsid w:val="00EE24BC"/>
    <w:rsid w:val="00EE602F"/>
    <w:rsid w:val="00F33D07"/>
    <w:rsid w:val="00F530D3"/>
    <w:rsid w:val="00FC2FCB"/>
    <w:rsid w:val="00FC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CF7"/>
    <w:pPr>
      <w:ind w:left="720"/>
      <w:contextualSpacing/>
    </w:pPr>
  </w:style>
  <w:style w:type="paragraph" w:styleId="FootnoteText">
    <w:name w:val="footnote text"/>
    <w:link w:val="FootnoteTextChar"/>
    <w:uiPriority w:val="99"/>
    <w:rsid w:val="00701885"/>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0"/>
      <w:szCs w:val="20"/>
      <w:u w:color="000000"/>
      <w:bdr w:val="nil"/>
      <w:lang w:val="fr-FR"/>
    </w:rPr>
  </w:style>
  <w:style w:type="character" w:customStyle="1" w:styleId="FootnoteTextChar">
    <w:name w:val="Footnote Text Char"/>
    <w:basedOn w:val="DefaultParagraphFont"/>
    <w:link w:val="FootnoteText"/>
    <w:uiPriority w:val="99"/>
    <w:rsid w:val="00701885"/>
    <w:rPr>
      <w:rFonts w:ascii="Times New Roman" w:eastAsia="Times New Roman" w:hAnsi="Times New Roman" w:cs="Times New Roman"/>
      <w:color w:val="000000"/>
      <w:sz w:val="20"/>
      <w:szCs w:val="20"/>
      <w:u w:color="000000"/>
      <w:bdr w:val="nil"/>
      <w:lang w:val="fr-FR"/>
    </w:rPr>
  </w:style>
  <w:style w:type="character" w:customStyle="1" w:styleId="Hyperlink1">
    <w:name w:val="Hyperlink.1"/>
    <w:basedOn w:val="DefaultParagraphFont"/>
    <w:rsid w:val="00701885"/>
    <w:rPr>
      <w:rFonts w:ascii="Perpetua" w:eastAsia="Perpetua" w:hAnsi="Perpetua" w:cs="Perpetua"/>
      <w:color w:val="0000FF"/>
      <w:sz w:val="18"/>
      <w:szCs w:val="18"/>
      <w:u w:val="single" w:color="0000FF"/>
    </w:rPr>
  </w:style>
  <w:style w:type="character" w:styleId="FootnoteReference">
    <w:name w:val="footnote reference"/>
    <w:basedOn w:val="DefaultParagraphFont"/>
    <w:uiPriority w:val="99"/>
    <w:semiHidden/>
    <w:unhideWhenUsed/>
    <w:rsid w:val="004F05A1"/>
    <w:rPr>
      <w:vertAlign w:val="superscript"/>
    </w:rPr>
  </w:style>
  <w:style w:type="paragraph" w:styleId="BalloonText">
    <w:name w:val="Balloon Text"/>
    <w:basedOn w:val="Normal"/>
    <w:link w:val="BalloonTextChar"/>
    <w:uiPriority w:val="99"/>
    <w:semiHidden/>
    <w:unhideWhenUsed/>
    <w:rsid w:val="00916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6C"/>
    <w:rPr>
      <w:rFonts w:ascii="Tahoma" w:hAnsi="Tahoma" w:cs="Tahoma"/>
      <w:sz w:val="16"/>
      <w:szCs w:val="16"/>
    </w:rPr>
  </w:style>
  <w:style w:type="paragraph" w:styleId="Header">
    <w:name w:val="header"/>
    <w:basedOn w:val="Normal"/>
    <w:link w:val="HeaderChar"/>
    <w:uiPriority w:val="99"/>
    <w:unhideWhenUsed/>
    <w:rsid w:val="00F530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0D3"/>
  </w:style>
  <w:style w:type="paragraph" w:styleId="Footer">
    <w:name w:val="footer"/>
    <w:basedOn w:val="Normal"/>
    <w:link w:val="FooterChar"/>
    <w:uiPriority w:val="99"/>
    <w:unhideWhenUsed/>
    <w:rsid w:val="00F530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0D3"/>
  </w:style>
  <w:style w:type="paragraph" w:customStyle="1" w:styleId="Default">
    <w:name w:val="Default"/>
    <w:rsid w:val="00D97333"/>
    <w:pPr>
      <w:pBdr>
        <w:top w:val="nil"/>
        <w:left w:val="nil"/>
        <w:bottom w:val="nil"/>
        <w:right w:val="nil"/>
        <w:between w:val="nil"/>
        <w:bar w:val="nil"/>
      </w:pBdr>
      <w:spacing w:after="0" w:line="240" w:lineRule="auto"/>
      <w:jc w:val="both"/>
    </w:pPr>
    <w:rPr>
      <w:rFonts w:ascii="Calibri" w:eastAsia="Calibri" w:hAnsi="Calibri" w:cs="Calibri"/>
      <w:color w:val="000000"/>
      <w:sz w:val="24"/>
      <w:szCs w:val="24"/>
      <w:u w:color="000000"/>
      <w:bdr w:val="nil"/>
      <w:lang w:val="fr-FR"/>
    </w:rPr>
  </w:style>
  <w:style w:type="paragraph" w:styleId="NormalWeb">
    <w:name w:val="Normal (Web)"/>
    <w:basedOn w:val="Normal"/>
    <w:uiPriority w:val="99"/>
    <w:unhideWhenUsed/>
    <w:rsid w:val="00600516"/>
    <w:pPr>
      <w:spacing w:before="100" w:beforeAutospacing="1" w:after="100" w:afterAutospacing="1" w:line="240" w:lineRule="auto"/>
    </w:pPr>
    <w:rPr>
      <w:rFonts w:ascii="Times New Roman" w:eastAsia="Times New Roman" w:hAnsi="Times New Roman" w:cs="Times New Roman"/>
      <w:sz w:val="24"/>
      <w:szCs w:val="24"/>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CF7"/>
    <w:pPr>
      <w:ind w:left="720"/>
      <w:contextualSpacing/>
    </w:pPr>
  </w:style>
  <w:style w:type="paragraph" w:styleId="FootnoteText">
    <w:name w:val="footnote text"/>
    <w:link w:val="FootnoteTextChar"/>
    <w:uiPriority w:val="99"/>
    <w:rsid w:val="00701885"/>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0"/>
      <w:szCs w:val="20"/>
      <w:u w:color="000000"/>
      <w:bdr w:val="nil"/>
      <w:lang w:val="fr-FR"/>
    </w:rPr>
  </w:style>
  <w:style w:type="character" w:customStyle="1" w:styleId="FootnoteTextChar">
    <w:name w:val="Footnote Text Char"/>
    <w:basedOn w:val="DefaultParagraphFont"/>
    <w:link w:val="FootnoteText"/>
    <w:uiPriority w:val="99"/>
    <w:rsid w:val="00701885"/>
    <w:rPr>
      <w:rFonts w:ascii="Times New Roman" w:eastAsia="Times New Roman" w:hAnsi="Times New Roman" w:cs="Times New Roman"/>
      <w:color w:val="000000"/>
      <w:sz w:val="20"/>
      <w:szCs w:val="20"/>
      <w:u w:color="000000"/>
      <w:bdr w:val="nil"/>
      <w:lang w:val="fr-FR"/>
    </w:rPr>
  </w:style>
  <w:style w:type="character" w:customStyle="1" w:styleId="Hyperlink1">
    <w:name w:val="Hyperlink.1"/>
    <w:basedOn w:val="DefaultParagraphFont"/>
    <w:rsid w:val="00701885"/>
    <w:rPr>
      <w:rFonts w:ascii="Perpetua" w:eastAsia="Perpetua" w:hAnsi="Perpetua" w:cs="Perpetua"/>
      <w:color w:val="0000FF"/>
      <w:sz w:val="18"/>
      <w:szCs w:val="18"/>
      <w:u w:val="single" w:color="0000FF"/>
    </w:rPr>
  </w:style>
  <w:style w:type="character" w:styleId="FootnoteReference">
    <w:name w:val="footnote reference"/>
    <w:basedOn w:val="DefaultParagraphFont"/>
    <w:uiPriority w:val="99"/>
    <w:semiHidden/>
    <w:unhideWhenUsed/>
    <w:rsid w:val="004F05A1"/>
    <w:rPr>
      <w:vertAlign w:val="superscript"/>
    </w:rPr>
  </w:style>
  <w:style w:type="paragraph" w:styleId="BalloonText">
    <w:name w:val="Balloon Text"/>
    <w:basedOn w:val="Normal"/>
    <w:link w:val="BalloonTextChar"/>
    <w:uiPriority w:val="99"/>
    <w:semiHidden/>
    <w:unhideWhenUsed/>
    <w:rsid w:val="00916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6C"/>
    <w:rPr>
      <w:rFonts w:ascii="Tahoma" w:hAnsi="Tahoma" w:cs="Tahoma"/>
      <w:sz w:val="16"/>
      <w:szCs w:val="16"/>
    </w:rPr>
  </w:style>
  <w:style w:type="paragraph" w:styleId="Header">
    <w:name w:val="header"/>
    <w:basedOn w:val="Normal"/>
    <w:link w:val="HeaderChar"/>
    <w:uiPriority w:val="99"/>
    <w:unhideWhenUsed/>
    <w:rsid w:val="00F530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0D3"/>
  </w:style>
  <w:style w:type="paragraph" w:styleId="Footer">
    <w:name w:val="footer"/>
    <w:basedOn w:val="Normal"/>
    <w:link w:val="FooterChar"/>
    <w:uiPriority w:val="99"/>
    <w:unhideWhenUsed/>
    <w:rsid w:val="00F530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0D3"/>
  </w:style>
  <w:style w:type="paragraph" w:customStyle="1" w:styleId="Default">
    <w:name w:val="Default"/>
    <w:rsid w:val="00D97333"/>
    <w:pPr>
      <w:pBdr>
        <w:top w:val="nil"/>
        <w:left w:val="nil"/>
        <w:bottom w:val="nil"/>
        <w:right w:val="nil"/>
        <w:between w:val="nil"/>
        <w:bar w:val="nil"/>
      </w:pBdr>
      <w:spacing w:after="0" w:line="240" w:lineRule="auto"/>
      <w:jc w:val="both"/>
    </w:pPr>
    <w:rPr>
      <w:rFonts w:ascii="Calibri" w:eastAsia="Calibri" w:hAnsi="Calibri" w:cs="Calibri"/>
      <w:color w:val="000000"/>
      <w:sz w:val="24"/>
      <w:szCs w:val="24"/>
      <w:u w:color="000000"/>
      <w:bdr w:val="nil"/>
      <w:lang w:val="fr-FR"/>
    </w:rPr>
  </w:style>
  <w:style w:type="paragraph" w:styleId="NormalWeb">
    <w:name w:val="Normal (Web)"/>
    <w:basedOn w:val="Normal"/>
    <w:uiPriority w:val="99"/>
    <w:unhideWhenUsed/>
    <w:rsid w:val="00600516"/>
    <w:pPr>
      <w:spacing w:before="100" w:beforeAutospacing="1" w:after="100" w:afterAutospacing="1" w:line="240" w:lineRule="auto"/>
    </w:pPr>
    <w:rPr>
      <w:rFonts w:ascii="Times New Roman" w:eastAsia="Times New Roman" w:hAnsi="Times New Roman" w:cs="Times New Roman"/>
      <w:sz w:val="24"/>
      <w:szCs w:val="24"/>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58ED-6DDD-4938-9CE5-9BA6D3B7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6</Pages>
  <Words>3642</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Maison de la Paix</Company>
  <LinksUpToDate>false</LinksUpToDate>
  <CharactersWithSpaces>24357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Finaud Marc</dc:creator>
  <cp:lastModifiedBy>Finaud Marc</cp:lastModifiedBy>
  <cp:revision>7</cp:revision>
  <dcterms:created xsi:type="dcterms:W3CDTF">2018-06-25T08:21:00Z</dcterms:created>
  <dcterms:modified xsi:type="dcterms:W3CDTF">2018-07-10T08:09:00Z</dcterms:modified>
</cp:coreProperties>
</file>